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9B1A" w14:textId="77777777" w:rsidR="00061EAC" w:rsidRDefault="00061EAC">
      <w:bookmarkStart w:id="0" w:name="_GoBack"/>
      <w:bookmarkEnd w:id="0"/>
    </w:p>
    <w:p w14:paraId="360F2477" w14:textId="77777777" w:rsidR="00061EAC" w:rsidRDefault="00061EAC" w:rsidP="00061EAC">
      <w:pPr>
        <w:jc w:val="center"/>
      </w:pPr>
      <w:r>
        <w:t>Uzasadnienie</w:t>
      </w:r>
    </w:p>
    <w:p w14:paraId="7DF6B1E8" w14:textId="77777777" w:rsidR="00061EAC" w:rsidRDefault="00061EAC" w:rsidP="00061EAC">
      <w:pPr>
        <w:jc w:val="center"/>
      </w:pPr>
    </w:p>
    <w:p w14:paraId="7C1418D3" w14:textId="028DB387" w:rsidR="00061EAC" w:rsidRDefault="00061EAC" w:rsidP="0011315D">
      <w:pPr>
        <w:spacing w:line="360" w:lineRule="auto"/>
        <w:jc w:val="both"/>
        <w:rPr>
          <w:color w:val="000000"/>
        </w:rPr>
      </w:pPr>
      <w:r>
        <w:t xml:space="preserve">Projekt rozporządzenia Ministra </w:t>
      </w:r>
      <w:r w:rsidR="006F797F">
        <w:t>E</w:t>
      </w:r>
      <w:r>
        <w:t xml:space="preserve">dukacji Narodowej </w:t>
      </w:r>
      <w:r w:rsidRPr="00E13927">
        <w:rPr>
          <w:color w:val="000000"/>
        </w:rPr>
        <w:t xml:space="preserve">w sprawie terminów przekazywania </w:t>
      </w:r>
      <w:r w:rsidR="00335A7D" w:rsidRPr="00E13927">
        <w:rPr>
          <w:color w:val="000000"/>
        </w:rPr>
        <w:t xml:space="preserve">gminom </w:t>
      </w:r>
      <w:r w:rsidRPr="00E13927">
        <w:rPr>
          <w:color w:val="000000"/>
        </w:rPr>
        <w:t xml:space="preserve">dotacji celowej na dofinansowanie świadczeń pomocy </w:t>
      </w:r>
      <w:r w:rsidR="00335A7D">
        <w:rPr>
          <w:color w:val="000000"/>
        </w:rPr>
        <w:t xml:space="preserve">materialnej </w:t>
      </w:r>
      <w:r w:rsidRPr="00E13927">
        <w:rPr>
          <w:color w:val="000000"/>
        </w:rPr>
        <w:t xml:space="preserve">o charakterze socjalnym oraz sposobu ustalania </w:t>
      </w:r>
      <w:r w:rsidR="00335A7D">
        <w:rPr>
          <w:color w:val="000000"/>
        </w:rPr>
        <w:t xml:space="preserve">wysokości </w:t>
      </w:r>
      <w:r w:rsidRPr="00E13927">
        <w:rPr>
          <w:color w:val="000000"/>
        </w:rPr>
        <w:t>dotacji jest wykonaniem upoważnienia ustawowego zawartego</w:t>
      </w:r>
      <w:r w:rsidR="00335A7D">
        <w:rPr>
          <w:color w:val="000000"/>
        </w:rPr>
        <w:t xml:space="preserve"> </w:t>
      </w:r>
      <w:r w:rsidRPr="00E13927">
        <w:rPr>
          <w:color w:val="000000"/>
        </w:rPr>
        <w:t>w art. 70 ust. 6 ustawy z dnia 27 października 2017 r. o finansowaniu zadań oświatowych (Dz. U.</w:t>
      </w:r>
      <w:r w:rsidR="0010223B">
        <w:rPr>
          <w:color w:val="000000"/>
        </w:rPr>
        <w:t xml:space="preserve"> </w:t>
      </w:r>
      <w:r w:rsidRPr="00E13927">
        <w:rPr>
          <w:color w:val="000000"/>
        </w:rPr>
        <w:t>poz. 2203</w:t>
      </w:r>
      <w:r w:rsidR="0010223B">
        <w:rPr>
          <w:color w:val="000000"/>
        </w:rPr>
        <w:t xml:space="preserve"> oraz z 2018 r. poz. 2245</w:t>
      </w:r>
      <w:r w:rsidRPr="00E13927">
        <w:rPr>
          <w:color w:val="000000"/>
        </w:rPr>
        <w:t>)</w:t>
      </w:r>
      <w:r w:rsidR="00335A7D">
        <w:rPr>
          <w:color w:val="000000"/>
        </w:rPr>
        <w:t>,</w:t>
      </w:r>
      <w:r w:rsidR="00335A7D" w:rsidRPr="00335A7D">
        <w:rPr>
          <w:color w:val="000000"/>
        </w:rPr>
        <w:t xml:space="preserve"> </w:t>
      </w:r>
      <w:r w:rsidR="00335A7D">
        <w:rPr>
          <w:color w:val="000000"/>
        </w:rPr>
        <w:t>zwanej dalej „ustawą”.</w:t>
      </w:r>
    </w:p>
    <w:p w14:paraId="2A09471F" w14:textId="77777777" w:rsidR="00751D3F" w:rsidRDefault="00751D3F" w:rsidP="0011315D">
      <w:pPr>
        <w:spacing w:line="360" w:lineRule="auto"/>
        <w:jc w:val="both"/>
        <w:rPr>
          <w:color w:val="000000"/>
        </w:rPr>
      </w:pPr>
    </w:p>
    <w:p w14:paraId="40FA3C77" w14:textId="2736D4C9" w:rsidR="0010223B" w:rsidRDefault="00061EAC" w:rsidP="0051077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Wydanie nowego rozporządzenia </w:t>
      </w:r>
      <w:r w:rsidRPr="00E13927">
        <w:rPr>
          <w:color w:val="000000"/>
        </w:rPr>
        <w:t xml:space="preserve">w sprawie terminów przekazywania </w:t>
      </w:r>
      <w:r w:rsidR="00335A7D" w:rsidRPr="00E13927">
        <w:rPr>
          <w:color w:val="000000"/>
        </w:rPr>
        <w:t xml:space="preserve">gminom </w:t>
      </w:r>
      <w:r w:rsidRPr="00E13927">
        <w:rPr>
          <w:color w:val="000000"/>
        </w:rPr>
        <w:t xml:space="preserve">dotacji celowej na dofinansowanie świadczeń pomocy </w:t>
      </w:r>
      <w:r w:rsidR="00335A7D">
        <w:rPr>
          <w:color w:val="000000"/>
        </w:rPr>
        <w:t xml:space="preserve">materialnej </w:t>
      </w:r>
      <w:r w:rsidRPr="00E13927">
        <w:rPr>
          <w:color w:val="000000"/>
        </w:rPr>
        <w:t xml:space="preserve">o charakterze socjalnym oraz sposobu ustalania </w:t>
      </w:r>
      <w:r w:rsidR="00335A7D">
        <w:rPr>
          <w:color w:val="000000"/>
        </w:rPr>
        <w:t xml:space="preserve">wysokości </w:t>
      </w:r>
      <w:r w:rsidRPr="00E13927">
        <w:rPr>
          <w:color w:val="000000"/>
        </w:rPr>
        <w:t>dotacji</w:t>
      </w:r>
      <w:r w:rsidR="0010223B">
        <w:rPr>
          <w:color w:val="000000"/>
        </w:rPr>
        <w:t xml:space="preserve"> wynika z uregulowania kwestii związanych z finansowaniem świadczeń pomocy materialnej </w:t>
      </w:r>
      <w:r w:rsidR="006F797F">
        <w:rPr>
          <w:color w:val="000000"/>
        </w:rPr>
        <w:t>w ustawie</w:t>
      </w:r>
      <w:r w:rsidR="0010223B">
        <w:rPr>
          <w:color w:val="000000"/>
        </w:rPr>
        <w:t>, a także wprowadzenia nowego wskaźnika w algorytmie wyliczania dotacji</w:t>
      </w:r>
      <w:r w:rsidR="006F797F">
        <w:rPr>
          <w:color w:val="000000"/>
        </w:rPr>
        <w:t xml:space="preserve">. </w:t>
      </w:r>
      <w:r w:rsidR="0010223B">
        <w:t xml:space="preserve">Zgodnie z </w:t>
      </w:r>
      <w:r w:rsidR="00335A7D">
        <w:t>upoważnieniem ustawowym</w:t>
      </w:r>
      <w:r w:rsidR="0010223B">
        <w:t xml:space="preserve"> dokonuje się zmiany w</w:t>
      </w:r>
      <w:r w:rsidR="0010223B" w:rsidRPr="00CD6E2A">
        <w:t xml:space="preserve"> zakresie naliczania dotacji </w:t>
      </w:r>
      <w:r w:rsidR="00335A7D" w:rsidRPr="00CD6E2A">
        <w:t xml:space="preserve">dla </w:t>
      </w:r>
      <w:r w:rsidR="00335A7D" w:rsidRPr="00C943A9">
        <w:t>uczniów</w:t>
      </w:r>
      <w:r w:rsidR="00E2599C">
        <w:t>, uczestników zajęć rewalidacyjno-</w:t>
      </w:r>
      <w:r w:rsidR="00E2599C" w:rsidRPr="00AD66E3">
        <w:t xml:space="preserve">wychowawczych i słuchaczy kolegiów </w:t>
      </w:r>
      <w:r w:rsidR="00E2599C">
        <w:t xml:space="preserve">pracowników </w:t>
      </w:r>
      <w:r w:rsidR="00E2599C" w:rsidRPr="00AD66E3">
        <w:t>służb społecznych</w:t>
      </w:r>
      <w:r w:rsidR="00E2599C">
        <w:t xml:space="preserve">, zwanych dalej </w:t>
      </w:r>
      <w:r w:rsidR="00D46CEA">
        <w:t>„</w:t>
      </w:r>
      <w:r w:rsidR="00E2599C">
        <w:t>uczniami</w:t>
      </w:r>
      <w:r w:rsidR="00D46CEA">
        <w:t>”,</w:t>
      </w:r>
      <w:r w:rsidR="00335A7D" w:rsidRPr="00C943A9">
        <w:t xml:space="preserve"> </w:t>
      </w:r>
      <w:r w:rsidR="0010223B" w:rsidRPr="00CD6E2A">
        <w:t xml:space="preserve">na pomoc materialną </w:t>
      </w:r>
      <w:r w:rsidR="0010223B">
        <w:t xml:space="preserve">o charakterze socjalnym przez </w:t>
      </w:r>
      <w:r w:rsidR="0010223B" w:rsidRPr="00810A09">
        <w:t xml:space="preserve">odejście </w:t>
      </w:r>
      <w:r w:rsidR="0010223B">
        <w:t xml:space="preserve">w przyjętym wzorze algorytmu naliczania dotacji </w:t>
      </w:r>
      <w:r w:rsidR="0010223B" w:rsidRPr="00810A09">
        <w:t>od</w:t>
      </w:r>
      <w:r w:rsidR="0010223B">
        <w:t xml:space="preserve"> uwzględnienia </w:t>
      </w:r>
      <w:r w:rsidR="0010223B" w:rsidRPr="00810A09">
        <w:t>danych opartych na licz</w:t>
      </w:r>
      <w:r w:rsidR="0010223B">
        <w:t>b</w:t>
      </w:r>
      <w:r w:rsidR="0010223B" w:rsidRPr="00810A09">
        <w:t>ie osób otrzymujących</w:t>
      </w:r>
      <w:r w:rsidR="0010223B">
        <w:t xml:space="preserve"> zasiłek okresowy, </w:t>
      </w:r>
      <w:r w:rsidR="0010223B" w:rsidRPr="00103197">
        <w:rPr>
          <w:color w:val="000000"/>
        </w:rPr>
        <w:t>o którym mowa w art. 36 pkt 1 lit. b ustawy z dnia 12 marca 2004 r. o pomocy społecznej</w:t>
      </w:r>
      <w:r w:rsidR="0010223B">
        <w:rPr>
          <w:color w:val="000000"/>
        </w:rPr>
        <w:t xml:space="preserve"> </w:t>
      </w:r>
      <w:r w:rsidR="00335A7D">
        <w:rPr>
          <w:color w:val="000000"/>
        </w:rPr>
        <w:t xml:space="preserve">(Dz. U. z 2018 r. poz. 1508, z </w:t>
      </w:r>
      <w:proofErr w:type="spellStart"/>
      <w:r w:rsidR="00335A7D">
        <w:rPr>
          <w:color w:val="000000"/>
        </w:rPr>
        <w:t>późn</w:t>
      </w:r>
      <w:proofErr w:type="spellEnd"/>
      <w:r w:rsidR="00335A7D">
        <w:rPr>
          <w:color w:val="000000"/>
        </w:rPr>
        <w:t xml:space="preserve">. zm.) </w:t>
      </w:r>
      <w:r w:rsidR="0010223B">
        <w:rPr>
          <w:color w:val="000000"/>
        </w:rPr>
        <w:t>na rzecz danych o liczbie uczniów</w:t>
      </w:r>
      <w:r w:rsidR="00335A7D">
        <w:t>,</w:t>
      </w:r>
      <w:r w:rsidR="0010223B">
        <w:rPr>
          <w:color w:val="000000"/>
        </w:rPr>
        <w:t xml:space="preserve"> którym przyznano takie stypendium w roku bazowym (tj. roku poprzedzającym rok budżetowy).</w:t>
      </w:r>
    </w:p>
    <w:p w14:paraId="5AEE70A7" w14:textId="770ACC3C" w:rsidR="006F797F" w:rsidRDefault="006F797F" w:rsidP="0010223B">
      <w:pPr>
        <w:spacing w:line="360" w:lineRule="auto"/>
        <w:jc w:val="both"/>
        <w:rPr>
          <w:color w:val="000000"/>
        </w:rPr>
      </w:pPr>
      <w:r w:rsidRPr="00BC5C8E">
        <w:rPr>
          <w:color w:val="000000"/>
        </w:rPr>
        <w:t xml:space="preserve">Dane o liczbie uczniów </w:t>
      </w:r>
      <w:r>
        <w:rPr>
          <w:color w:val="000000"/>
        </w:rPr>
        <w:t xml:space="preserve">zostaną </w:t>
      </w:r>
      <w:r w:rsidR="0010223B">
        <w:rPr>
          <w:color w:val="000000"/>
        </w:rPr>
        <w:t xml:space="preserve">pozyskane </w:t>
      </w:r>
      <w:r w:rsidRPr="00BC5C8E">
        <w:rPr>
          <w:color w:val="000000"/>
        </w:rPr>
        <w:t>z S</w:t>
      </w:r>
      <w:r>
        <w:rPr>
          <w:color w:val="000000"/>
        </w:rPr>
        <w:t xml:space="preserve">ystemu </w:t>
      </w:r>
      <w:r w:rsidRPr="00BC5C8E">
        <w:rPr>
          <w:color w:val="000000"/>
        </w:rPr>
        <w:t>I</w:t>
      </w:r>
      <w:r>
        <w:rPr>
          <w:color w:val="000000"/>
        </w:rPr>
        <w:t xml:space="preserve">nformacji </w:t>
      </w:r>
      <w:r w:rsidRPr="00BC5C8E">
        <w:rPr>
          <w:color w:val="000000"/>
        </w:rPr>
        <w:t>O</w:t>
      </w:r>
      <w:r>
        <w:rPr>
          <w:color w:val="000000"/>
        </w:rPr>
        <w:t>światowej</w:t>
      </w:r>
      <w:r w:rsidR="0010223B">
        <w:rPr>
          <w:color w:val="000000"/>
        </w:rPr>
        <w:t>.</w:t>
      </w:r>
    </w:p>
    <w:p w14:paraId="0864A531" w14:textId="77777777" w:rsidR="00751D3F" w:rsidRDefault="00751D3F" w:rsidP="0011315D">
      <w:pPr>
        <w:spacing w:line="360" w:lineRule="auto"/>
        <w:jc w:val="both"/>
        <w:rPr>
          <w:color w:val="000000"/>
        </w:rPr>
      </w:pPr>
    </w:p>
    <w:p w14:paraId="1821F935" w14:textId="5B20EBE7" w:rsidR="00751D3F" w:rsidRDefault="00751D3F" w:rsidP="00751D3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</w:t>
      </w:r>
      <w:r w:rsidR="00335A7D">
        <w:rPr>
          <w:color w:val="000000"/>
        </w:rPr>
        <w:t xml:space="preserve">roku </w:t>
      </w:r>
      <w:r>
        <w:rPr>
          <w:color w:val="000000"/>
        </w:rPr>
        <w:t xml:space="preserve">2004 kiedy przygotowywano </w:t>
      </w:r>
      <w:r w:rsidR="0010223B">
        <w:rPr>
          <w:color w:val="000000"/>
        </w:rPr>
        <w:t xml:space="preserve">przepisy </w:t>
      </w:r>
      <w:r>
        <w:rPr>
          <w:color w:val="000000"/>
        </w:rPr>
        <w:t xml:space="preserve">dotyczące </w:t>
      </w:r>
      <w:r w:rsidR="0010223B">
        <w:rPr>
          <w:color w:val="000000"/>
        </w:rPr>
        <w:t xml:space="preserve">świadczeń pomocy materialnej </w:t>
      </w:r>
      <w:r w:rsidR="00510771">
        <w:rPr>
          <w:color w:val="000000"/>
        </w:rPr>
        <w:br/>
      </w:r>
      <w:r w:rsidR="0010223B">
        <w:rPr>
          <w:color w:val="000000"/>
        </w:rPr>
        <w:t>o charakterze socjalnym</w:t>
      </w:r>
      <w:r>
        <w:rPr>
          <w:color w:val="000000"/>
        </w:rPr>
        <w:t>, M</w:t>
      </w:r>
      <w:r w:rsidR="0010223B">
        <w:rPr>
          <w:color w:val="000000"/>
        </w:rPr>
        <w:t xml:space="preserve">inisterstwo </w:t>
      </w:r>
      <w:r>
        <w:rPr>
          <w:color w:val="000000"/>
        </w:rPr>
        <w:t>E</w:t>
      </w:r>
      <w:r w:rsidR="0010223B">
        <w:rPr>
          <w:color w:val="000000"/>
        </w:rPr>
        <w:t xml:space="preserve">dukacji </w:t>
      </w:r>
      <w:r>
        <w:rPr>
          <w:color w:val="000000"/>
        </w:rPr>
        <w:t>N</w:t>
      </w:r>
      <w:r w:rsidR="0010223B">
        <w:rPr>
          <w:color w:val="000000"/>
        </w:rPr>
        <w:t>arodowej</w:t>
      </w:r>
      <w:r w:rsidR="00510771">
        <w:rPr>
          <w:color w:val="000000"/>
        </w:rPr>
        <w:t xml:space="preserve"> </w:t>
      </w:r>
      <w:r>
        <w:rPr>
          <w:color w:val="000000"/>
        </w:rPr>
        <w:t xml:space="preserve">nie dysponowało jednoznacznymi i zweryfikowanymi danymi, które mogłyby wyznaczać poziom ekonomiczny samorządów oraz ich zaangażowanie w politykę społeczną wobec swoich mieszkańców. Dlatego też w art. 90r ust. 3 ustawy z dnia 7 września 1991 r. o systemie oświaty </w:t>
      </w:r>
      <w:r w:rsidR="00812C42">
        <w:rPr>
          <w:color w:val="000000"/>
        </w:rPr>
        <w:t xml:space="preserve">(Dz. U. z 2018 r. poz. 1457, z </w:t>
      </w:r>
      <w:proofErr w:type="spellStart"/>
      <w:r w:rsidR="00812C42">
        <w:rPr>
          <w:color w:val="000000"/>
        </w:rPr>
        <w:t>późn</w:t>
      </w:r>
      <w:proofErr w:type="spellEnd"/>
      <w:r w:rsidR="00812C42">
        <w:rPr>
          <w:color w:val="000000"/>
        </w:rPr>
        <w:t xml:space="preserve">. zm.) </w:t>
      </w:r>
      <w:r>
        <w:rPr>
          <w:color w:val="000000"/>
        </w:rPr>
        <w:t xml:space="preserve">przyjęto jako jedną z danych, na podstawie której wyliczano wysokość dotacji dla samorządów, zasiłek okresowy wypłacany przez ośrodki pomocy społecznej, który był finansowany z budżetu państwa. Dane o liczbie przyznanych zasiłków były corocznie zbierane przez wojewodów. W trakcie kolejnych lat realizacji </w:t>
      </w:r>
      <w:r w:rsidR="00812C42">
        <w:rPr>
          <w:color w:val="000000"/>
        </w:rPr>
        <w:t xml:space="preserve">ww. </w:t>
      </w:r>
      <w:r>
        <w:rPr>
          <w:color w:val="000000"/>
        </w:rPr>
        <w:t xml:space="preserve">ustawy wiele samorządów zaczęło prowadzić politykę społeczną opartą na innych formach wparcia obywateli, w tym na dofinansowaniu robót publicznych, czy systemu stażów dla osób </w:t>
      </w:r>
      <w:r>
        <w:rPr>
          <w:color w:val="000000"/>
        </w:rPr>
        <w:lastRenderedPageBreak/>
        <w:t>bezrobotnych, ograniczając jednocześnie wypłatę zasiłków okresowych. Również migracja zarobkowa części mieszkańców kraju powodowała, że liczba przyznawanych zasiłków przestała odzwierciedlać sytuację materialną mieszkańców gmin. W części samorządów oznaczało,</w:t>
      </w:r>
      <w:r w:rsidR="00812C42">
        <w:rPr>
          <w:color w:val="000000"/>
        </w:rPr>
        <w:t xml:space="preserve"> </w:t>
      </w:r>
      <w:r>
        <w:rPr>
          <w:color w:val="000000"/>
        </w:rPr>
        <w:t xml:space="preserve">to znaczące zmniejszanie się </w:t>
      </w:r>
      <w:r w:rsidR="000F214E">
        <w:rPr>
          <w:color w:val="000000"/>
        </w:rPr>
        <w:t xml:space="preserve">wysokości </w:t>
      </w:r>
      <w:r>
        <w:rPr>
          <w:color w:val="000000"/>
        </w:rPr>
        <w:t xml:space="preserve">dotacji na wypłatę pomocy materialnej dla uczniów, co nie zawsze miało swoje realne odzwierciedlenie w sytuacji ekonomicznej samorządu. </w:t>
      </w:r>
      <w:r w:rsidR="004662BD">
        <w:rPr>
          <w:color w:val="000000"/>
        </w:rPr>
        <w:br/>
      </w:r>
      <w:r>
        <w:rPr>
          <w:color w:val="000000"/>
        </w:rPr>
        <w:t xml:space="preserve">Z drugiej strony zwiększone zaangażowanie samorządów w pomoc dla uczniów nie miała swojego odzwierciedlenia w </w:t>
      </w:r>
      <w:r w:rsidR="000F214E">
        <w:rPr>
          <w:color w:val="000000"/>
        </w:rPr>
        <w:t xml:space="preserve">wysokości </w:t>
      </w:r>
      <w:r>
        <w:rPr>
          <w:color w:val="000000"/>
        </w:rPr>
        <w:t xml:space="preserve">naliczanej dotacji. W </w:t>
      </w:r>
      <w:r w:rsidR="000F214E">
        <w:rPr>
          <w:color w:val="000000"/>
        </w:rPr>
        <w:t xml:space="preserve">ostatnich </w:t>
      </w:r>
      <w:r>
        <w:rPr>
          <w:color w:val="000000"/>
        </w:rPr>
        <w:t>latach można</w:t>
      </w:r>
      <w:r w:rsidR="000F214E">
        <w:rPr>
          <w:color w:val="000000"/>
        </w:rPr>
        <w:t xml:space="preserve"> było</w:t>
      </w:r>
      <w:r>
        <w:rPr>
          <w:color w:val="000000"/>
        </w:rPr>
        <w:t xml:space="preserve"> zauważyć, że część samorządów dążyła do ograniczenia wypłacania tej pomocy dla uczniów. </w:t>
      </w:r>
      <w:r w:rsidR="000F214E">
        <w:rPr>
          <w:color w:val="000000"/>
        </w:rPr>
        <w:t>Ponadto</w:t>
      </w:r>
      <w:r>
        <w:rPr>
          <w:color w:val="000000"/>
        </w:rPr>
        <w:t xml:space="preserve"> malała liczba uczniów, przy stosunkowo stałej liczbie osób zamieszkujących Polskę, mogł</w:t>
      </w:r>
      <w:r w:rsidR="000F214E">
        <w:rPr>
          <w:color w:val="000000"/>
        </w:rPr>
        <w:t>a</w:t>
      </w:r>
      <w:r>
        <w:rPr>
          <w:color w:val="000000"/>
        </w:rPr>
        <w:t xml:space="preserve"> zaburzać stosowany algorytm. </w:t>
      </w:r>
    </w:p>
    <w:p w14:paraId="6A6226C4" w14:textId="33DFFA0E" w:rsidR="00751D3F" w:rsidRDefault="00751D3F" w:rsidP="00751D3F">
      <w:pPr>
        <w:pStyle w:val="ARTartustawynprozporzdzenia"/>
        <w:spacing w:before="0"/>
        <w:ind w:firstLine="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Dodatkowym elementem przemawiającym za zmianą sposobu naliczania </w:t>
      </w:r>
      <w:r w:rsidR="000F214E">
        <w:rPr>
          <w:rFonts w:ascii="Times New Roman" w:eastAsia="Times New Roman" w:hAnsi="Times New Roman"/>
          <w:color w:val="000000"/>
          <w:szCs w:val="24"/>
        </w:rPr>
        <w:t xml:space="preserve">dotacji </w:t>
      </w:r>
      <w:r>
        <w:rPr>
          <w:rFonts w:ascii="Times New Roman" w:eastAsia="Times New Roman" w:hAnsi="Times New Roman"/>
          <w:color w:val="000000"/>
          <w:szCs w:val="24"/>
        </w:rPr>
        <w:t>jest migracja wewnętrzna osób, a tym samym nieproporcjonalne wielkości uczniów w wybranych samorządach, które zobligowane były do wypłacania pomocy uczniom zamieszkującym na t</w:t>
      </w:r>
      <w:r w:rsidR="009A53F1">
        <w:rPr>
          <w:rFonts w:ascii="Times New Roman" w:eastAsia="Times New Roman" w:hAnsi="Times New Roman"/>
          <w:color w:val="000000"/>
          <w:szCs w:val="24"/>
        </w:rPr>
        <w:t>e</w:t>
      </w:r>
      <w:r>
        <w:rPr>
          <w:rFonts w:ascii="Times New Roman" w:eastAsia="Times New Roman" w:hAnsi="Times New Roman"/>
          <w:color w:val="000000"/>
          <w:szCs w:val="24"/>
        </w:rPr>
        <w:t xml:space="preserve">renie gminy, </w:t>
      </w:r>
      <w:r w:rsidR="00D33EB0">
        <w:rPr>
          <w:rFonts w:ascii="Times New Roman" w:eastAsia="Times New Roman" w:hAnsi="Times New Roman"/>
          <w:color w:val="000000"/>
          <w:szCs w:val="24"/>
        </w:rPr>
        <w:t>a nie zameldowanym – a wi</w:t>
      </w:r>
      <w:r w:rsidR="000F214E">
        <w:rPr>
          <w:rFonts w:ascii="Times New Roman" w:eastAsia="Times New Roman" w:hAnsi="Times New Roman"/>
          <w:color w:val="000000"/>
          <w:szCs w:val="24"/>
        </w:rPr>
        <w:t>ę</w:t>
      </w:r>
      <w:r w:rsidR="00D33EB0">
        <w:rPr>
          <w:rFonts w:ascii="Times New Roman" w:eastAsia="Times New Roman" w:hAnsi="Times New Roman"/>
          <w:color w:val="000000"/>
          <w:szCs w:val="24"/>
        </w:rPr>
        <w:t>c nie</w:t>
      </w:r>
      <w:r>
        <w:rPr>
          <w:rFonts w:ascii="Times New Roman" w:eastAsia="Times New Roman" w:hAnsi="Times New Roman"/>
          <w:color w:val="000000"/>
          <w:szCs w:val="24"/>
        </w:rPr>
        <w:t>pobierającym w gminie zasiłku okresowego (migracja zarobkowa). Prowadziło to do znaczącego wzrostu realnych odbiorców pomocy.</w:t>
      </w:r>
    </w:p>
    <w:p w14:paraId="5276161A" w14:textId="2BAB6348" w:rsidR="00751D3F" w:rsidRDefault="00751D3F" w:rsidP="00751D3F">
      <w:pPr>
        <w:spacing w:line="360" w:lineRule="auto"/>
        <w:jc w:val="both"/>
        <w:rPr>
          <w:color w:val="000000"/>
        </w:rPr>
      </w:pPr>
      <w:r>
        <w:rPr>
          <w:color w:val="000000"/>
        </w:rPr>
        <w:t>Powiązanie w obecn</w:t>
      </w:r>
      <w:r w:rsidR="000F214E">
        <w:rPr>
          <w:color w:val="000000"/>
        </w:rPr>
        <w:t>ie proponowanym</w:t>
      </w:r>
      <w:r>
        <w:rPr>
          <w:color w:val="000000"/>
        </w:rPr>
        <w:t xml:space="preserve"> rozwiązaniu </w:t>
      </w:r>
      <w:r w:rsidR="000F214E">
        <w:rPr>
          <w:color w:val="000000"/>
        </w:rPr>
        <w:t xml:space="preserve">uzależnienia </w:t>
      </w:r>
      <w:r>
        <w:rPr>
          <w:color w:val="000000"/>
        </w:rPr>
        <w:t xml:space="preserve">wysokości dotacji </w:t>
      </w:r>
      <w:r w:rsidR="000F214E">
        <w:rPr>
          <w:color w:val="000000"/>
        </w:rPr>
        <w:t xml:space="preserve">od </w:t>
      </w:r>
      <w:r>
        <w:rPr>
          <w:color w:val="000000"/>
        </w:rPr>
        <w:t>liczb</w:t>
      </w:r>
      <w:r w:rsidR="000F214E">
        <w:rPr>
          <w:color w:val="000000"/>
        </w:rPr>
        <w:t>y</w:t>
      </w:r>
      <w:r>
        <w:rPr>
          <w:color w:val="000000"/>
        </w:rPr>
        <w:t xml:space="preserve"> uczniów</w:t>
      </w:r>
      <w:r w:rsidR="009940D6">
        <w:t>,</w:t>
      </w:r>
      <w:r w:rsidR="000F214E">
        <w:rPr>
          <w:color w:val="000000"/>
        </w:rPr>
        <w:t xml:space="preserve"> którym przyznano takie stypendium</w:t>
      </w:r>
      <w:r>
        <w:rPr>
          <w:color w:val="000000"/>
        </w:rPr>
        <w:t xml:space="preserve"> powinno przywrócić zaangażowanie samorządów w to zadani</w:t>
      </w:r>
      <w:r w:rsidR="000F214E">
        <w:rPr>
          <w:color w:val="000000"/>
        </w:rPr>
        <w:t>e</w:t>
      </w:r>
      <w:r>
        <w:rPr>
          <w:color w:val="000000"/>
        </w:rPr>
        <w:t xml:space="preserve">, łącząc liczbę stypendystów z wysokością naliczonej dotacji. Należy zwrócić uwagę, że ustawa wprowadziła </w:t>
      </w:r>
      <w:r w:rsidR="000F214E">
        <w:rPr>
          <w:color w:val="000000"/>
        </w:rPr>
        <w:t>również przepis uzależniający wysokość wkładu własnego gminy od wskaźnika dochodów podatkowych na jednego mieszkańca w gminie</w:t>
      </w:r>
      <w:r w:rsidR="00510771">
        <w:rPr>
          <w:color w:val="000000"/>
        </w:rPr>
        <w:t>,</w:t>
      </w:r>
      <w:r w:rsidR="000F214E">
        <w:rPr>
          <w:color w:val="000000"/>
        </w:rPr>
        <w:t xml:space="preserve"> </w:t>
      </w:r>
      <w:r>
        <w:rPr>
          <w:color w:val="000000"/>
        </w:rPr>
        <w:t>umożliwiając</w:t>
      </w:r>
      <w:r w:rsidR="000F214E">
        <w:rPr>
          <w:color w:val="000000"/>
        </w:rPr>
        <w:t>y</w:t>
      </w:r>
      <w:r>
        <w:rPr>
          <w:color w:val="000000"/>
        </w:rPr>
        <w:t xml:space="preserve"> jednostkom samorządu terytorialnego udzielenie pomocy uczniom stosowanie do ich dochodowości, przez uzależnienie wysokości wkładu własnego w realizację pomocy</w:t>
      </w:r>
      <w:r w:rsidR="00510771">
        <w:rPr>
          <w:color w:val="000000"/>
        </w:rPr>
        <w:t xml:space="preserve"> </w:t>
      </w:r>
      <w:r>
        <w:rPr>
          <w:color w:val="000000"/>
        </w:rPr>
        <w:t>dla uczniów od wysokości wskaźnika dochodów podatkowych.</w:t>
      </w:r>
    </w:p>
    <w:p w14:paraId="173AC8AD" w14:textId="7BE1016B" w:rsidR="00751D3F" w:rsidRPr="00397319" w:rsidRDefault="00751D3F" w:rsidP="00751D3F">
      <w:pPr>
        <w:spacing w:line="360" w:lineRule="auto"/>
        <w:jc w:val="both"/>
      </w:pPr>
      <w:r>
        <w:rPr>
          <w:color w:val="000000"/>
        </w:rPr>
        <w:t xml:space="preserve">Dodatkowo </w:t>
      </w:r>
      <w:r w:rsidR="000F214E">
        <w:rPr>
          <w:color w:val="000000"/>
        </w:rPr>
        <w:t xml:space="preserve">dane do wyliczenia dotacji będą pochodziły z </w:t>
      </w:r>
      <w:r>
        <w:rPr>
          <w:color w:val="000000"/>
        </w:rPr>
        <w:t>System</w:t>
      </w:r>
      <w:r w:rsidR="000F214E">
        <w:rPr>
          <w:color w:val="000000"/>
        </w:rPr>
        <w:t>u</w:t>
      </w:r>
      <w:r>
        <w:rPr>
          <w:color w:val="000000"/>
        </w:rPr>
        <w:t xml:space="preserve"> Informacji Oświatowej w zakresie liczby uczniów otrzymujących stypendia szkolne, co</w:t>
      </w:r>
      <w:r w:rsidR="000F214E">
        <w:rPr>
          <w:color w:val="000000"/>
        </w:rPr>
        <w:t xml:space="preserve"> znacząco</w:t>
      </w:r>
      <w:r>
        <w:rPr>
          <w:color w:val="000000"/>
        </w:rPr>
        <w:t xml:space="preserve"> ułatwi przygotowanie podziału środków</w:t>
      </w:r>
      <w:r w:rsidR="000F214E">
        <w:rPr>
          <w:color w:val="000000"/>
        </w:rPr>
        <w:t xml:space="preserve"> dla poszczególnych województw.</w:t>
      </w:r>
    </w:p>
    <w:p w14:paraId="45315789" w14:textId="77777777" w:rsidR="006F797F" w:rsidRDefault="006F797F" w:rsidP="0011315D">
      <w:pPr>
        <w:spacing w:line="360" w:lineRule="auto"/>
        <w:jc w:val="both"/>
        <w:rPr>
          <w:color w:val="000000"/>
        </w:rPr>
      </w:pPr>
    </w:p>
    <w:p w14:paraId="10F7EF93" w14:textId="1A30D211" w:rsidR="00CB5289" w:rsidRPr="006D52C4" w:rsidRDefault="005D7866" w:rsidP="0011315D">
      <w:pPr>
        <w:spacing w:line="360" w:lineRule="auto"/>
        <w:jc w:val="both"/>
        <w:rPr>
          <w:color w:val="000000"/>
        </w:rPr>
      </w:pPr>
      <w:r>
        <w:rPr>
          <w:color w:val="000000"/>
          <w:spacing w:val="-2"/>
        </w:rPr>
        <w:t>R</w:t>
      </w:r>
      <w:r w:rsidRPr="00AD66E3">
        <w:rPr>
          <w:color w:val="000000"/>
          <w:spacing w:val="-2"/>
        </w:rPr>
        <w:t>ozporządzeni</w:t>
      </w:r>
      <w:r>
        <w:rPr>
          <w:color w:val="000000"/>
          <w:spacing w:val="-2"/>
        </w:rPr>
        <w:t>e</w:t>
      </w:r>
      <w:r w:rsidRPr="00AD66E3">
        <w:rPr>
          <w:color w:val="000000"/>
          <w:spacing w:val="-2"/>
        </w:rPr>
        <w:t xml:space="preserve"> </w:t>
      </w:r>
      <w:r w:rsidR="00CB5289" w:rsidRPr="00AD66E3">
        <w:rPr>
          <w:color w:val="000000"/>
          <w:spacing w:val="-2"/>
        </w:rPr>
        <w:t>określa terminy przekazywania gminom dotacji</w:t>
      </w:r>
      <w:r w:rsidR="000F214E">
        <w:rPr>
          <w:color w:val="000000"/>
          <w:spacing w:val="-2"/>
        </w:rPr>
        <w:t xml:space="preserve">, </w:t>
      </w:r>
      <w:r w:rsidR="00CB5289" w:rsidRPr="00AD66E3">
        <w:rPr>
          <w:color w:val="000000"/>
          <w:spacing w:val="-2"/>
        </w:rPr>
        <w:t xml:space="preserve">o której mowa w </w:t>
      </w:r>
      <w:r w:rsidR="00CB5289" w:rsidRPr="00AD66E3">
        <w:rPr>
          <w:color w:val="000000"/>
        </w:rPr>
        <w:t xml:space="preserve">art. 70 ust. 1 ustawy oraz </w:t>
      </w:r>
      <w:r w:rsidR="00CB5289" w:rsidRPr="00AD66E3">
        <w:rPr>
          <w:color w:val="000000"/>
          <w:spacing w:val="-2"/>
        </w:rPr>
        <w:t xml:space="preserve">wysokość dotacji dla gminy na dofinansowanie świadczeń pomocy materialnej </w:t>
      </w:r>
      <w:r w:rsidR="009970DD">
        <w:rPr>
          <w:color w:val="000000"/>
          <w:spacing w:val="-2"/>
        </w:rPr>
        <w:br/>
      </w:r>
      <w:r w:rsidR="00CB5289" w:rsidRPr="00AD66E3">
        <w:rPr>
          <w:color w:val="000000"/>
          <w:spacing w:val="-2"/>
        </w:rPr>
        <w:t>o charakterze socjalnym ustalonej według następującego wzoru algorytmu:</w:t>
      </w:r>
    </w:p>
    <w:p w14:paraId="183C3EB6" w14:textId="77777777" w:rsidR="00946BF7" w:rsidRPr="0057022B" w:rsidRDefault="00946BF7" w:rsidP="00946BF7">
      <w:pPr>
        <w:pStyle w:val="ARTartustawynprozporzdzenia"/>
      </w:pPr>
      <m:oMathPara>
        <m:oMath>
          <m:r>
            <w:rPr>
              <w:rFonts w:ascii="Cambria Math" w:hAnsi="Cambria Math"/>
            </w:rPr>
            <w:lastRenderedPageBreak/>
            <m:t>a=b∙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c∙d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14:paraId="4E911662" w14:textId="77777777" w:rsidR="00CB5289" w:rsidRPr="00AD66E3" w:rsidRDefault="00CB5289" w:rsidP="0011315D">
      <w:pPr>
        <w:spacing w:line="360" w:lineRule="auto"/>
        <w:jc w:val="both"/>
        <w:rPr>
          <w:color w:val="000000"/>
          <w:spacing w:val="-2"/>
        </w:rPr>
      </w:pPr>
      <w:r w:rsidRPr="00AD66E3">
        <w:rPr>
          <w:color w:val="000000"/>
          <w:spacing w:val="-2"/>
        </w:rPr>
        <w:t>gdzie znaczenie poszczególnych symboli jest następujące:</w:t>
      </w:r>
    </w:p>
    <w:p w14:paraId="2F14875E" w14:textId="0D48C5D6" w:rsidR="00CB5289" w:rsidRPr="00AD66E3" w:rsidRDefault="00CB5289" w:rsidP="0011315D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D66E3">
        <w:rPr>
          <w:rFonts w:ascii="Times New Roman" w:hAnsi="Times New Roman" w:cs="Times New Roman"/>
          <w:szCs w:val="24"/>
        </w:rPr>
        <w:t xml:space="preserve">a </w:t>
      </w:r>
      <w:r w:rsidR="00812C42">
        <w:rPr>
          <w:rFonts w:ascii="Times New Roman" w:hAnsi="Times New Roman" w:cs="Times New Roman"/>
          <w:szCs w:val="24"/>
        </w:rPr>
        <w:t>–</w:t>
      </w:r>
      <w:r w:rsidRPr="00AD66E3">
        <w:rPr>
          <w:rFonts w:ascii="Times New Roman" w:hAnsi="Times New Roman" w:cs="Times New Roman"/>
          <w:szCs w:val="24"/>
        </w:rPr>
        <w:t xml:space="preserve"> wysokość dotacji celowej dla gminy, przeznaczona na dofinansowanie świadczeń pomocy materialnej dla uczniów</w:t>
      </w:r>
      <w:r w:rsidR="009940D6">
        <w:t>,</w:t>
      </w:r>
    </w:p>
    <w:p w14:paraId="4199EBDA" w14:textId="596A151E" w:rsidR="00CB5289" w:rsidRPr="00AD66E3" w:rsidRDefault="00CB5289" w:rsidP="0011315D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D66E3">
        <w:rPr>
          <w:rFonts w:ascii="Times New Roman" w:hAnsi="Times New Roman" w:cs="Times New Roman"/>
          <w:szCs w:val="24"/>
        </w:rPr>
        <w:t xml:space="preserve">b </w:t>
      </w:r>
      <w:r w:rsidR="00812C42">
        <w:rPr>
          <w:rFonts w:ascii="Times New Roman" w:hAnsi="Times New Roman" w:cs="Times New Roman"/>
          <w:szCs w:val="24"/>
        </w:rPr>
        <w:t>–</w:t>
      </w:r>
      <w:r w:rsidRPr="00AD66E3">
        <w:rPr>
          <w:rFonts w:ascii="Times New Roman" w:hAnsi="Times New Roman" w:cs="Times New Roman"/>
          <w:szCs w:val="24"/>
        </w:rPr>
        <w:t xml:space="preserve"> kwota środków przewidzianych na dofinansowanie </w:t>
      </w:r>
      <w:r w:rsidR="00812C42">
        <w:rPr>
          <w:rFonts w:ascii="Times New Roman" w:hAnsi="Times New Roman" w:cs="Times New Roman"/>
          <w:szCs w:val="24"/>
        </w:rPr>
        <w:t xml:space="preserve">świadczeń </w:t>
      </w:r>
      <w:r w:rsidRPr="00AD66E3">
        <w:rPr>
          <w:rFonts w:ascii="Times New Roman" w:hAnsi="Times New Roman" w:cs="Times New Roman"/>
          <w:szCs w:val="24"/>
        </w:rPr>
        <w:t>pomocy materialnej o charakterze socjalnym dla uczniów</w:t>
      </w:r>
      <w:r w:rsidR="00812C42">
        <w:rPr>
          <w:rFonts w:ascii="Times New Roman" w:hAnsi="Times New Roman" w:cs="Times New Roman"/>
          <w:szCs w:val="24"/>
        </w:rPr>
        <w:t>,</w:t>
      </w:r>
      <w:r w:rsidR="009940D6" w:rsidRPr="009940D6">
        <w:t xml:space="preserve"> </w:t>
      </w:r>
      <w:r w:rsidR="009940D6">
        <w:rPr>
          <w:rFonts w:ascii="Times New Roman" w:hAnsi="Times New Roman" w:cs="Times New Roman"/>
          <w:szCs w:val="24"/>
        </w:rPr>
        <w:t xml:space="preserve"> </w:t>
      </w:r>
      <w:r w:rsidRPr="00AD66E3">
        <w:rPr>
          <w:rFonts w:ascii="Times New Roman" w:hAnsi="Times New Roman" w:cs="Times New Roman"/>
          <w:szCs w:val="24"/>
        </w:rPr>
        <w:t>w budżecie państwa,</w:t>
      </w:r>
    </w:p>
    <w:p w14:paraId="48F9E7B5" w14:textId="7F6AEE4C" w:rsidR="00CB5289" w:rsidRPr="00AD66E3" w:rsidRDefault="00CB5289" w:rsidP="0011315D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D66E3">
        <w:rPr>
          <w:rFonts w:ascii="Times New Roman" w:hAnsi="Times New Roman" w:cs="Times New Roman"/>
          <w:szCs w:val="24"/>
        </w:rPr>
        <w:t xml:space="preserve">c </w:t>
      </w:r>
      <w:r w:rsidR="00812C42">
        <w:rPr>
          <w:rFonts w:ascii="Times New Roman" w:hAnsi="Times New Roman" w:cs="Times New Roman"/>
          <w:szCs w:val="24"/>
        </w:rPr>
        <w:t>–</w:t>
      </w:r>
      <w:r w:rsidRPr="00AD66E3">
        <w:rPr>
          <w:rFonts w:ascii="Times New Roman" w:hAnsi="Times New Roman" w:cs="Times New Roman"/>
          <w:szCs w:val="24"/>
        </w:rPr>
        <w:t xml:space="preserve"> liczba osób w wieku od 6 do 8 lat, zameldowanych na terenie gminy na pobyt stały,</w:t>
      </w:r>
    </w:p>
    <w:p w14:paraId="363AD89B" w14:textId="32089D63" w:rsidR="00CB5289" w:rsidRPr="00AD66E3" w:rsidRDefault="0011315D" w:rsidP="009970DD">
      <w:pPr>
        <w:pStyle w:val="Tekstkomentarza"/>
        <w:spacing w:line="360" w:lineRule="auto"/>
        <w:jc w:val="both"/>
      </w:pPr>
      <w:r>
        <w:rPr>
          <w:szCs w:val="24"/>
        </w:rPr>
        <w:t xml:space="preserve">        </w:t>
      </w:r>
      <w:r w:rsidR="009970DD">
        <w:rPr>
          <w:szCs w:val="24"/>
        </w:rPr>
        <w:t xml:space="preserve"> </w:t>
      </w:r>
      <w:r w:rsidR="00812C42">
        <w:rPr>
          <w:szCs w:val="24"/>
        </w:rPr>
        <w:t xml:space="preserve"> </w:t>
      </w:r>
      <w:r w:rsidRPr="009970DD">
        <w:rPr>
          <w:color w:val="000000"/>
          <w:spacing w:val="-2"/>
          <w:sz w:val="24"/>
          <w:szCs w:val="24"/>
        </w:rPr>
        <w:t>d</w:t>
      </w:r>
      <w:r w:rsidR="009970DD">
        <w:rPr>
          <w:color w:val="000000"/>
          <w:spacing w:val="-2"/>
          <w:sz w:val="24"/>
          <w:szCs w:val="24"/>
        </w:rPr>
        <w:t xml:space="preserve"> </w:t>
      </w:r>
      <w:r w:rsidR="00812C42">
        <w:rPr>
          <w:color w:val="000000"/>
          <w:spacing w:val="-2"/>
          <w:sz w:val="24"/>
          <w:szCs w:val="24"/>
        </w:rPr>
        <w:t>–</w:t>
      </w:r>
      <w:r w:rsidRPr="009970DD">
        <w:rPr>
          <w:color w:val="000000"/>
          <w:spacing w:val="-2"/>
          <w:sz w:val="24"/>
          <w:szCs w:val="24"/>
        </w:rPr>
        <w:t xml:space="preserve"> </w:t>
      </w:r>
      <w:r w:rsidR="00CB5289" w:rsidRPr="009970DD">
        <w:rPr>
          <w:color w:val="000000"/>
          <w:spacing w:val="-2"/>
          <w:sz w:val="24"/>
          <w:szCs w:val="24"/>
        </w:rPr>
        <w:t xml:space="preserve">stosunek liczby uczniów,  którym przyznano stypendium szkolne, o którym mowa w art. 90c ust. 2 pkt. 1 ustawy </w:t>
      </w:r>
      <w:r w:rsidR="00812C42">
        <w:rPr>
          <w:color w:val="000000"/>
          <w:spacing w:val="-2"/>
          <w:sz w:val="24"/>
          <w:szCs w:val="24"/>
        </w:rPr>
        <w:t xml:space="preserve">z dnia 7 września 1991 r. </w:t>
      </w:r>
      <w:r w:rsidR="00CB5289" w:rsidRPr="009970DD">
        <w:rPr>
          <w:color w:val="000000"/>
          <w:spacing w:val="-2"/>
          <w:sz w:val="24"/>
          <w:szCs w:val="24"/>
        </w:rPr>
        <w:t>o systemie oświaty, w roku bazowym, do liczby osób zameldowanych na terenie gminy na pobyt stały</w:t>
      </w:r>
      <w:r w:rsidR="00812C42">
        <w:rPr>
          <w:color w:val="000000"/>
          <w:spacing w:val="-2"/>
          <w:sz w:val="24"/>
          <w:szCs w:val="24"/>
        </w:rPr>
        <w:t>;</w:t>
      </w:r>
      <w:r w:rsidRPr="009970DD">
        <w:rPr>
          <w:color w:val="000000"/>
          <w:spacing w:val="-2"/>
          <w:sz w:val="24"/>
          <w:szCs w:val="24"/>
        </w:rPr>
        <w:t xml:space="preserve"> </w:t>
      </w:r>
      <w:r w:rsidR="009940D6">
        <w:rPr>
          <w:color w:val="000000"/>
          <w:spacing w:val="-2"/>
          <w:sz w:val="24"/>
          <w:szCs w:val="24"/>
        </w:rPr>
        <w:t>w</w:t>
      </w:r>
      <w:r w:rsidR="009940D6" w:rsidRPr="009970DD">
        <w:rPr>
          <w:color w:val="000000"/>
          <w:spacing w:val="-2"/>
          <w:sz w:val="24"/>
          <w:szCs w:val="24"/>
        </w:rPr>
        <w:t xml:space="preserve"> </w:t>
      </w:r>
      <w:r w:rsidR="009970DD" w:rsidRPr="009970DD">
        <w:rPr>
          <w:color w:val="000000"/>
          <w:spacing w:val="-2"/>
          <w:sz w:val="24"/>
          <w:szCs w:val="24"/>
        </w:rPr>
        <w:t xml:space="preserve">przypadku gdy liczba uczniów, którzy otrzymali </w:t>
      </w:r>
      <w:r w:rsidR="009940D6">
        <w:rPr>
          <w:color w:val="000000"/>
          <w:spacing w:val="-2"/>
          <w:sz w:val="24"/>
          <w:szCs w:val="24"/>
        </w:rPr>
        <w:t>stypendium szkolne</w:t>
      </w:r>
      <w:r w:rsidR="009970DD" w:rsidRPr="009970DD">
        <w:rPr>
          <w:color w:val="000000"/>
          <w:spacing w:val="-2"/>
          <w:sz w:val="24"/>
          <w:szCs w:val="24"/>
        </w:rPr>
        <w:t xml:space="preserve"> wynosi </w:t>
      </w:r>
      <w:r w:rsidR="009940D6">
        <w:rPr>
          <w:color w:val="000000"/>
          <w:spacing w:val="-2"/>
          <w:sz w:val="24"/>
          <w:szCs w:val="24"/>
        </w:rPr>
        <w:t>0</w:t>
      </w:r>
      <w:r w:rsidR="009970DD" w:rsidRPr="009970DD">
        <w:rPr>
          <w:color w:val="000000"/>
          <w:spacing w:val="-2"/>
          <w:sz w:val="24"/>
          <w:szCs w:val="24"/>
        </w:rPr>
        <w:t>, należy uwzględnić liczbę uczniów</w:t>
      </w:r>
      <w:r w:rsidR="005C5125">
        <w:rPr>
          <w:color w:val="000000"/>
          <w:spacing w:val="-2"/>
          <w:sz w:val="24"/>
          <w:szCs w:val="24"/>
        </w:rPr>
        <w:t>,</w:t>
      </w:r>
      <w:r w:rsidR="009970DD" w:rsidRPr="009970DD">
        <w:rPr>
          <w:color w:val="000000"/>
          <w:spacing w:val="-2"/>
          <w:sz w:val="24"/>
          <w:szCs w:val="24"/>
        </w:rPr>
        <w:t xml:space="preserve"> którym przyznano stypendium szkolne w roku poprzedzającym rok bazowy.</w:t>
      </w:r>
    </w:p>
    <w:p w14:paraId="0A948196" w14:textId="07E52F5A" w:rsidR="00CB5289" w:rsidRPr="00AD66E3" w:rsidRDefault="00CB5289" w:rsidP="003F4E39">
      <w:pPr>
        <w:pStyle w:val="ARTartustawynprozporzdzenia"/>
        <w:spacing w:before="0"/>
        <w:ind w:left="851" w:hanging="341"/>
        <w:rPr>
          <w:rFonts w:ascii="Times New Roman" w:hAnsi="Times New Roman" w:cs="Times New Roman"/>
          <w:szCs w:val="24"/>
        </w:rPr>
      </w:pPr>
      <w:r w:rsidRPr="00AD66E3">
        <w:rPr>
          <w:rFonts w:ascii="Times New Roman" w:hAnsi="Times New Roman" w:cs="Times New Roman"/>
          <w:szCs w:val="24"/>
        </w:rPr>
        <w:t xml:space="preserve">f </w:t>
      </w:r>
      <w:r w:rsidR="005C5125">
        <w:rPr>
          <w:rFonts w:ascii="Times New Roman" w:hAnsi="Times New Roman" w:cs="Times New Roman"/>
          <w:szCs w:val="24"/>
        </w:rPr>
        <w:t>–</w:t>
      </w:r>
      <w:r w:rsidRPr="00AD66E3">
        <w:rPr>
          <w:rFonts w:ascii="Times New Roman" w:hAnsi="Times New Roman" w:cs="Times New Roman"/>
          <w:szCs w:val="24"/>
        </w:rPr>
        <w:t xml:space="preserve"> wskaźnik dochodów podatkowych na jednego mieszkańca w gminie, obliczany jako wskaźnik G,</w:t>
      </w:r>
    </w:p>
    <w:p w14:paraId="7E3C11B5" w14:textId="7E564783" w:rsidR="00CB5289" w:rsidRPr="00AD66E3" w:rsidRDefault="00CB5289" w:rsidP="0011315D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D66E3">
        <w:rPr>
          <w:rFonts w:ascii="Times New Roman" w:hAnsi="Times New Roman" w:cs="Times New Roman"/>
          <w:szCs w:val="24"/>
        </w:rPr>
        <w:t xml:space="preserve">n </w:t>
      </w:r>
      <w:r w:rsidR="005C5125">
        <w:rPr>
          <w:rFonts w:ascii="Times New Roman" w:hAnsi="Times New Roman" w:cs="Times New Roman"/>
          <w:szCs w:val="24"/>
        </w:rPr>
        <w:t>–</w:t>
      </w:r>
      <w:r w:rsidRPr="00AD66E3">
        <w:rPr>
          <w:rFonts w:ascii="Times New Roman" w:hAnsi="Times New Roman" w:cs="Times New Roman"/>
          <w:szCs w:val="24"/>
        </w:rPr>
        <w:t xml:space="preserve"> wyznacznik dla każdej gminy,</w:t>
      </w:r>
    </w:p>
    <w:p w14:paraId="61805220" w14:textId="4F027928" w:rsidR="00CB5289" w:rsidRDefault="00CB5289" w:rsidP="0011315D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D66E3">
        <w:rPr>
          <w:rFonts w:ascii="Times New Roman" w:hAnsi="Times New Roman" w:cs="Times New Roman"/>
          <w:szCs w:val="24"/>
        </w:rPr>
        <w:t>m</w:t>
      </w:r>
      <w:r w:rsidR="005C5125">
        <w:rPr>
          <w:rFonts w:ascii="Times New Roman" w:hAnsi="Times New Roman" w:cs="Times New Roman"/>
          <w:szCs w:val="24"/>
        </w:rPr>
        <w:t xml:space="preserve"> – </w:t>
      </w:r>
      <w:r w:rsidRPr="00AD66E3">
        <w:rPr>
          <w:rFonts w:ascii="Times New Roman" w:hAnsi="Times New Roman" w:cs="Times New Roman"/>
          <w:szCs w:val="24"/>
        </w:rPr>
        <w:t>liczba gmin.</w:t>
      </w:r>
    </w:p>
    <w:p w14:paraId="2401A6A6" w14:textId="77777777" w:rsidR="00A51B60" w:rsidRDefault="00CB5289" w:rsidP="003F4E39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Dotacja celowa dla gminy </w:t>
      </w:r>
      <w:r w:rsidRPr="00AD66E3">
        <w:rPr>
          <w:rFonts w:ascii="Times New Roman" w:hAnsi="Times New Roman"/>
          <w:color w:val="000000"/>
          <w:spacing w:val="-2"/>
          <w:szCs w:val="24"/>
        </w:rPr>
        <w:t xml:space="preserve">na dofinansowanie świadczeń pomocy materialnej </w:t>
      </w:r>
      <w:r w:rsidR="0011315D">
        <w:rPr>
          <w:rFonts w:ascii="Times New Roman" w:hAnsi="Times New Roman"/>
          <w:color w:val="000000"/>
          <w:spacing w:val="-2"/>
          <w:szCs w:val="24"/>
        </w:rPr>
        <w:br/>
      </w:r>
      <w:r w:rsidRPr="00AD66E3">
        <w:rPr>
          <w:rFonts w:ascii="Times New Roman" w:hAnsi="Times New Roman"/>
          <w:color w:val="000000"/>
          <w:spacing w:val="-2"/>
          <w:szCs w:val="24"/>
        </w:rPr>
        <w:t xml:space="preserve">o charakterze socjalnym </w:t>
      </w:r>
      <w:r>
        <w:rPr>
          <w:rFonts w:ascii="Times New Roman" w:hAnsi="Times New Roman" w:cs="Times New Roman"/>
          <w:szCs w:val="24"/>
        </w:rPr>
        <w:t>jest przekazywana w transzach do 10 dnia każdego miesiąca.</w:t>
      </w:r>
      <w:r w:rsidR="00A51B60">
        <w:rPr>
          <w:rFonts w:ascii="Times New Roman" w:hAnsi="Times New Roman" w:cs="Times New Roman"/>
          <w:szCs w:val="24"/>
        </w:rPr>
        <w:t xml:space="preserve"> </w:t>
      </w:r>
    </w:p>
    <w:p w14:paraId="12DB7BC1" w14:textId="6E62E885" w:rsidR="00CB5289" w:rsidRDefault="00A51B60" w:rsidP="003F4E39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roku 2019 r. pierwsza transza obejmować będzie miesiące styczeń, luty i marzec oraz zostanie przekazana do dnia 31 marca 2019 r.</w:t>
      </w:r>
    </w:p>
    <w:p w14:paraId="3383C22E" w14:textId="29D4226E" w:rsidR="007A2ECC" w:rsidRDefault="007A2ECC" w:rsidP="003F4E3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Proponuje się, aby rozporządzenie weszło w życie </w:t>
      </w:r>
      <w:r w:rsidR="005C5125">
        <w:rPr>
          <w:rFonts w:ascii="Times New Roman" w:hAnsi="Times New Roman" w:cs="Times New Roman"/>
          <w:szCs w:val="24"/>
        </w:rPr>
        <w:t>po upływie 14 dni od dnia ogłoszenia.</w:t>
      </w:r>
      <w:r w:rsidR="005C5125" w:rsidRPr="005C5125">
        <w:rPr>
          <w:rFonts w:ascii="Times New Roman" w:hAnsi="Times New Roman" w:cs="Times New Roman"/>
          <w:szCs w:val="24"/>
        </w:rPr>
        <w:t xml:space="preserve"> </w:t>
      </w:r>
      <w:r w:rsidR="005C5125">
        <w:rPr>
          <w:rFonts w:ascii="Times New Roman" w:hAnsi="Times New Roman" w:cs="Times New Roman"/>
          <w:szCs w:val="24"/>
        </w:rPr>
        <w:t>Sposób ustalania wysokości dotacji dla gminy</w:t>
      </w:r>
      <w:r w:rsidR="00904912">
        <w:rPr>
          <w:rFonts w:ascii="Times New Roman" w:hAnsi="Times New Roman" w:cs="Times New Roman"/>
          <w:szCs w:val="24"/>
        </w:rPr>
        <w:t>, zgodnie z nowym algorytmem,</w:t>
      </w:r>
      <w:r w:rsidR="005C5125">
        <w:rPr>
          <w:rFonts w:ascii="Times New Roman" w:hAnsi="Times New Roman" w:cs="Times New Roman"/>
          <w:szCs w:val="24"/>
        </w:rPr>
        <w:t xml:space="preserve"> będzie miał zastosowanie od roku szkolnego 2019/2020.</w:t>
      </w:r>
      <w:r w:rsidR="00904912">
        <w:rPr>
          <w:rFonts w:ascii="Times New Roman" w:hAnsi="Times New Roman" w:cs="Times New Roman"/>
          <w:szCs w:val="24"/>
        </w:rPr>
        <w:t xml:space="preserve"> </w:t>
      </w:r>
    </w:p>
    <w:p w14:paraId="60BD285D" w14:textId="77777777" w:rsidR="0011315D" w:rsidRDefault="0011315D" w:rsidP="00130034">
      <w:pPr>
        <w:autoSpaceDE w:val="0"/>
        <w:autoSpaceDN w:val="0"/>
        <w:adjustRightInd w:val="0"/>
        <w:spacing w:line="360" w:lineRule="auto"/>
        <w:jc w:val="both"/>
      </w:pPr>
      <w:r>
        <w:t>Projekt rozporządzenia zostanie</w:t>
      </w:r>
      <w:r w:rsidRPr="00015971">
        <w:t xml:space="preserve"> udostępniony na stronie Biuletynu Informacji Publicznej Ministerstwa Edukacji Narodowej, zgodnie z art. 5 </w:t>
      </w:r>
      <w:r>
        <w:t>ustawy z dnia 7 lipca 2005 r. o </w:t>
      </w:r>
      <w:r w:rsidRPr="00015971">
        <w:t>działalności lobbingowej w procesie stanowienia prawa (</w:t>
      </w:r>
      <w:hyperlink r:id="rId6" w:history="1">
        <w:r w:rsidRPr="00FA446E">
          <w:t>Dz.U. z 2017 r. poz. 248)</w:t>
        </w:r>
      </w:hyperlink>
      <w:r w:rsidRPr="00015971">
        <w:t xml:space="preserve"> </w:t>
      </w:r>
      <w:r w:rsidR="004662BD">
        <w:br/>
      </w:r>
      <w:r w:rsidRPr="00015971">
        <w:t xml:space="preserve">oraz </w:t>
      </w:r>
      <w:r>
        <w:t xml:space="preserve">w </w:t>
      </w:r>
      <w:r w:rsidRPr="00015971">
        <w:t>Biuletynie Informacji Publicznej Rządoweg</w:t>
      </w:r>
      <w:r>
        <w:t>o Centrum Legislacji</w:t>
      </w:r>
      <w:r w:rsidR="00EC3A12">
        <w:t xml:space="preserve"> w zakładce Rz</w:t>
      </w:r>
      <w:r w:rsidR="00301BFE">
        <w:t>ą</w:t>
      </w:r>
      <w:r w:rsidR="00EC3A12">
        <w:t>dowy Proces legislacyjny.</w:t>
      </w:r>
    </w:p>
    <w:p w14:paraId="53C266D4" w14:textId="77777777" w:rsidR="0011315D" w:rsidRDefault="0011315D" w:rsidP="0011315D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63EFB432" w14:textId="77777777" w:rsidR="0011315D" w:rsidRDefault="0011315D" w:rsidP="00130034">
      <w:pPr>
        <w:autoSpaceDE w:val="0"/>
        <w:autoSpaceDN w:val="0"/>
        <w:adjustRightInd w:val="0"/>
        <w:spacing w:line="360" w:lineRule="auto"/>
        <w:jc w:val="both"/>
      </w:pPr>
      <w:r w:rsidRPr="00015971">
        <w:t xml:space="preserve">Rozporządzenie nie zawiera przepisów technicznych w rozumieniu rozporządzenia Rady Ministrów z dnia 23 grudnia 2002 r. w sprawie sposobu funkcjonowania krajowego sytemu </w:t>
      </w:r>
      <w:r w:rsidRPr="00015971">
        <w:lastRenderedPageBreak/>
        <w:t xml:space="preserve">notyfikacji norm i aktów prawnych (Dz. U. </w:t>
      </w:r>
      <w:r>
        <w:t xml:space="preserve">z 2002 </w:t>
      </w:r>
      <w:r w:rsidRPr="00015971">
        <w:t>poz. 2039</w:t>
      </w:r>
      <w:r>
        <w:t xml:space="preserve"> oraz z </w:t>
      </w:r>
      <w:r w:rsidRPr="00C92F3B">
        <w:t>2004</w:t>
      </w:r>
      <w:r>
        <w:t xml:space="preserve"> r</w:t>
      </w:r>
      <w:r w:rsidRPr="00C92F3B">
        <w:t>.</w:t>
      </w:r>
      <w:r>
        <w:t xml:space="preserve"> poz</w:t>
      </w:r>
      <w:r w:rsidRPr="00C92F3B">
        <w:t>.</w:t>
      </w:r>
      <w:r>
        <w:t> </w:t>
      </w:r>
      <w:r w:rsidRPr="00C92F3B">
        <w:t>597</w:t>
      </w:r>
      <w:r>
        <w:t>), w </w:t>
      </w:r>
      <w:r w:rsidRPr="00015971">
        <w:t>związku z tym nie podlega notyfikacji.</w:t>
      </w:r>
    </w:p>
    <w:p w14:paraId="421BCFFA" w14:textId="77777777" w:rsidR="005C5125" w:rsidRDefault="00130034" w:rsidP="005C5125">
      <w:pPr>
        <w:pStyle w:val="NormalnyWeb"/>
        <w:tabs>
          <w:tab w:val="left" w:pos="708"/>
        </w:tabs>
        <w:spacing w:line="360" w:lineRule="auto"/>
        <w:jc w:val="both"/>
        <w:rPr>
          <w:bCs/>
        </w:rPr>
      </w:pPr>
      <w:r>
        <w:rPr>
          <w:bCs/>
        </w:rPr>
        <w:t xml:space="preserve">Przedmiot </w:t>
      </w:r>
      <w:r w:rsidRPr="007A4C9D">
        <w:rPr>
          <w:bCs/>
        </w:rPr>
        <w:t xml:space="preserve">regulacji nie jest objęty zakresem prawa Unii Europejskiej. </w:t>
      </w:r>
    </w:p>
    <w:p w14:paraId="764F03CB" w14:textId="77777777" w:rsidR="005C5125" w:rsidRPr="00D25AFC" w:rsidRDefault="005C5125" w:rsidP="003F4E39">
      <w:pPr>
        <w:spacing w:after="120" w:line="360" w:lineRule="auto"/>
        <w:jc w:val="both"/>
      </w:pPr>
      <w:r>
        <w:t>Projekt rozporządzenia</w:t>
      </w:r>
      <w:r w:rsidRPr="00D25AFC">
        <w:t xml:space="preserve"> nie wymaga przedstawienia właściwym organom i instytucjom Unii Europejskiej, w tym Europejskiemu Bankowi Centralnemu, w celu uzyskania opinii, dokonania powiadomienia, konsultacji albo uzgodnienia.</w:t>
      </w:r>
    </w:p>
    <w:p w14:paraId="50517AEE" w14:textId="77777777" w:rsidR="005C5125" w:rsidRPr="00D25AFC" w:rsidRDefault="005C5125" w:rsidP="003F4E39">
      <w:pPr>
        <w:spacing w:after="120" w:line="360" w:lineRule="auto"/>
        <w:jc w:val="both"/>
      </w:pPr>
      <w:r w:rsidRPr="00D25AFC">
        <w:t xml:space="preserve">Rozporządzenie nie będzie miało wypływu na działalność </w:t>
      </w:r>
      <w:proofErr w:type="spellStart"/>
      <w:r w:rsidRPr="00D25AFC">
        <w:t>mikroprzedsiębiorców</w:t>
      </w:r>
      <w:proofErr w:type="spellEnd"/>
      <w:r w:rsidRPr="00D25AFC">
        <w:t xml:space="preserve"> oraz małych </w:t>
      </w:r>
      <w:r>
        <w:br/>
      </w:r>
      <w:r w:rsidRPr="00D25AFC">
        <w:t>i średnich przedsiębiorców.</w:t>
      </w:r>
    </w:p>
    <w:p w14:paraId="60E5E3C9" w14:textId="77777777" w:rsidR="005C5125" w:rsidRPr="00D25AFC" w:rsidRDefault="005C5125" w:rsidP="003F4E39">
      <w:pPr>
        <w:spacing w:after="120" w:line="360" w:lineRule="auto"/>
        <w:jc w:val="both"/>
      </w:pPr>
      <w:r>
        <w:t>Projekt rozporządzenie</w:t>
      </w:r>
      <w:r w:rsidRPr="00D25AFC">
        <w:t xml:space="preserve"> nie z</w:t>
      </w:r>
      <w:r>
        <w:t>a</w:t>
      </w:r>
      <w:r w:rsidRPr="00D25AFC">
        <w:t>wiera przepisów określających warunki wykonania działalności gospodarczej, w</w:t>
      </w:r>
      <w:r>
        <w:t> </w:t>
      </w:r>
      <w:r w:rsidRPr="00D25AFC">
        <w:t>związku z powyższym nie ma konieczności stosowania przepisów uchwały nr</w:t>
      </w:r>
      <w:r>
        <w:t> </w:t>
      </w:r>
      <w:r w:rsidRPr="00D25AFC">
        <w:t>20 Rady Ministrów z dnia 18 lutego 2014 r. w sprawie zaleceń ujednolicania terminów wejścia w życie niektórych aktów normatywnych (M.</w:t>
      </w:r>
      <w:r>
        <w:t xml:space="preserve"> </w:t>
      </w:r>
      <w:r w:rsidRPr="00D25AFC">
        <w:t xml:space="preserve">P. poz. 205). </w:t>
      </w:r>
    </w:p>
    <w:p w14:paraId="6E60825D" w14:textId="77777777" w:rsidR="005C5125" w:rsidRPr="00D25AFC" w:rsidRDefault="005C5125" w:rsidP="003F4E39">
      <w:pPr>
        <w:spacing w:after="120" w:line="360" w:lineRule="auto"/>
        <w:contextualSpacing/>
        <w:jc w:val="both"/>
      </w:pPr>
      <w:r w:rsidRPr="00D25AFC">
        <w:t>Jednocześnie należy wskazać, że nie ma możliwości podjęcia alternatywnych w stosunku do</w:t>
      </w:r>
      <w:r>
        <w:t> </w:t>
      </w:r>
      <w:r w:rsidRPr="00D25AFC">
        <w:t xml:space="preserve">projektowanego rozporządzenia środków umożliwiających osiągnięcie zamierzonego celu. </w:t>
      </w:r>
    </w:p>
    <w:p w14:paraId="07761CA7" w14:textId="77777777" w:rsidR="005C5125" w:rsidRPr="00D25AFC" w:rsidRDefault="005C5125" w:rsidP="005C5125">
      <w:pPr>
        <w:pStyle w:val="Tekstpodstawowy1"/>
        <w:shd w:val="clear" w:color="auto" w:fill="auto"/>
        <w:spacing w:before="0" w:after="120" w:line="276" w:lineRule="auto"/>
        <w:ind w:left="40" w:right="40" w:firstLine="0"/>
        <w:rPr>
          <w:sz w:val="24"/>
          <w:szCs w:val="24"/>
        </w:rPr>
      </w:pPr>
    </w:p>
    <w:p w14:paraId="4611FA34" w14:textId="77777777" w:rsidR="006F797F" w:rsidRDefault="006F797F" w:rsidP="00812C42">
      <w:pPr>
        <w:spacing w:line="360" w:lineRule="auto"/>
        <w:jc w:val="both"/>
      </w:pPr>
    </w:p>
    <w:sectPr w:rsidR="006F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4469" w14:textId="77777777" w:rsidR="000C19B3" w:rsidRDefault="000C19B3" w:rsidP="00F92F1F">
      <w:r>
        <w:separator/>
      </w:r>
    </w:p>
  </w:endnote>
  <w:endnote w:type="continuationSeparator" w:id="0">
    <w:p w14:paraId="1E1EF6EE" w14:textId="77777777" w:rsidR="000C19B3" w:rsidRDefault="000C19B3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80D3" w14:textId="77777777" w:rsidR="00F92F1F" w:rsidRDefault="00F92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D6D3" w14:textId="77777777" w:rsidR="00F92F1F" w:rsidRDefault="00F92F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189E3" w14:textId="77777777" w:rsidR="00F92F1F" w:rsidRDefault="00F92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0E078" w14:textId="77777777" w:rsidR="000C19B3" w:rsidRDefault="000C19B3" w:rsidP="00F92F1F">
      <w:r>
        <w:separator/>
      </w:r>
    </w:p>
  </w:footnote>
  <w:footnote w:type="continuationSeparator" w:id="0">
    <w:p w14:paraId="356905CF" w14:textId="77777777" w:rsidR="000C19B3" w:rsidRDefault="000C19B3" w:rsidP="00F9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D902" w14:textId="77777777" w:rsidR="00F92F1F" w:rsidRDefault="00F92F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A57CD" w14:textId="77777777" w:rsidR="00F92F1F" w:rsidRDefault="00F92F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F437" w14:textId="77777777" w:rsidR="00F92F1F" w:rsidRDefault="00F92F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29DF"/>
    <w:rsid w:val="000358C5"/>
    <w:rsid w:val="00061A20"/>
    <w:rsid w:val="00061EAC"/>
    <w:rsid w:val="000C14DC"/>
    <w:rsid w:val="000C19B3"/>
    <w:rsid w:val="000D1D25"/>
    <w:rsid w:val="000E0D74"/>
    <w:rsid w:val="000F214E"/>
    <w:rsid w:val="0010223B"/>
    <w:rsid w:val="001034B0"/>
    <w:rsid w:val="0011315D"/>
    <w:rsid w:val="001179E7"/>
    <w:rsid w:val="00130034"/>
    <w:rsid w:val="001437D9"/>
    <w:rsid w:val="0015096B"/>
    <w:rsid w:val="00193246"/>
    <w:rsid w:val="001A7300"/>
    <w:rsid w:val="001C11AC"/>
    <w:rsid w:val="00204E21"/>
    <w:rsid w:val="00213EB6"/>
    <w:rsid w:val="00230302"/>
    <w:rsid w:val="002542B3"/>
    <w:rsid w:val="002737BA"/>
    <w:rsid w:val="002F63CC"/>
    <w:rsid w:val="00301BFE"/>
    <w:rsid w:val="003062D5"/>
    <w:rsid w:val="0030719F"/>
    <w:rsid w:val="00335A7D"/>
    <w:rsid w:val="00374771"/>
    <w:rsid w:val="00397319"/>
    <w:rsid w:val="003A09A2"/>
    <w:rsid w:val="003C1FD9"/>
    <w:rsid w:val="003F4E39"/>
    <w:rsid w:val="003F52B8"/>
    <w:rsid w:val="00411B83"/>
    <w:rsid w:val="004605ED"/>
    <w:rsid w:val="00462171"/>
    <w:rsid w:val="004662BD"/>
    <w:rsid w:val="004D05CB"/>
    <w:rsid w:val="00510771"/>
    <w:rsid w:val="005C5125"/>
    <w:rsid w:val="005D08B6"/>
    <w:rsid w:val="005D7866"/>
    <w:rsid w:val="006242FA"/>
    <w:rsid w:val="00641DFB"/>
    <w:rsid w:val="006921E8"/>
    <w:rsid w:val="006A5AA5"/>
    <w:rsid w:val="006F797F"/>
    <w:rsid w:val="00704C9C"/>
    <w:rsid w:val="00751D3F"/>
    <w:rsid w:val="0075222F"/>
    <w:rsid w:val="00754198"/>
    <w:rsid w:val="007A2825"/>
    <w:rsid w:val="007A2ECC"/>
    <w:rsid w:val="007A739E"/>
    <w:rsid w:val="007C27D4"/>
    <w:rsid w:val="007D011B"/>
    <w:rsid w:val="007E1894"/>
    <w:rsid w:val="00801F65"/>
    <w:rsid w:val="00804092"/>
    <w:rsid w:val="008060A8"/>
    <w:rsid w:val="00807019"/>
    <w:rsid w:val="00812C42"/>
    <w:rsid w:val="00823369"/>
    <w:rsid w:val="0083763C"/>
    <w:rsid w:val="008916AF"/>
    <w:rsid w:val="00896D5D"/>
    <w:rsid w:val="008A2D15"/>
    <w:rsid w:val="008A687F"/>
    <w:rsid w:val="008C4A77"/>
    <w:rsid w:val="008F2047"/>
    <w:rsid w:val="008F7E51"/>
    <w:rsid w:val="00904912"/>
    <w:rsid w:val="00922417"/>
    <w:rsid w:val="009240F3"/>
    <w:rsid w:val="00946BF7"/>
    <w:rsid w:val="00983D20"/>
    <w:rsid w:val="009940D6"/>
    <w:rsid w:val="009970DD"/>
    <w:rsid w:val="009A53F1"/>
    <w:rsid w:val="009E23F6"/>
    <w:rsid w:val="00A51B60"/>
    <w:rsid w:val="00A522C2"/>
    <w:rsid w:val="00A7160D"/>
    <w:rsid w:val="00A8373E"/>
    <w:rsid w:val="00A95B12"/>
    <w:rsid w:val="00AA1AA7"/>
    <w:rsid w:val="00AB0878"/>
    <w:rsid w:val="00AC613B"/>
    <w:rsid w:val="00AD4236"/>
    <w:rsid w:val="00AE7F63"/>
    <w:rsid w:val="00B03499"/>
    <w:rsid w:val="00B25671"/>
    <w:rsid w:val="00B80AE1"/>
    <w:rsid w:val="00BD33EC"/>
    <w:rsid w:val="00BD6487"/>
    <w:rsid w:val="00C253B8"/>
    <w:rsid w:val="00C76344"/>
    <w:rsid w:val="00C76672"/>
    <w:rsid w:val="00C82B27"/>
    <w:rsid w:val="00CB5289"/>
    <w:rsid w:val="00D06826"/>
    <w:rsid w:val="00D11E92"/>
    <w:rsid w:val="00D33EB0"/>
    <w:rsid w:val="00D3587B"/>
    <w:rsid w:val="00D46CEA"/>
    <w:rsid w:val="00DA2638"/>
    <w:rsid w:val="00DA44EB"/>
    <w:rsid w:val="00DF7DE3"/>
    <w:rsid w:val="00E13BCD"/>
    <w:rsid w:val="00E154E5"/>
    <w:rsid w:val="00E16D7D"/>
    <w:rsid w:val="00E2599C"/>
    <w:rsid w:val="00E86725"/>
    <w:rsid w:val="00EB1CC1"/>
    <w:rsid w:val="00EC3A12"/>
    <w:rsid w:val="00EF26CA"/>
    <w:rsid w:val="00F26A5A"/>
    <w:rsid w:val="00F47F46"/>
    <w:rsid w:val="00F500C2"/>
    <w:rsid w:val="00F50546"/>
    <w:rsid w:val="00F50AD5"/>
    <w:rsid w:val="00F549E2"/>
    <w:rsid w:val="00F86512"/>
    <w:rsid w:val="00F92F1F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3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2F1F"/>
    <w:rPr>
      <w:sz w:val="24"/>
      <w:szCs w:val="24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CB528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CB5289"/>
    <w:rPr>
      <w:rFonts w:ascii="Times" w:eastAsiaTheme="minorEastAsia" w:hAnsi="Times" w:cs="Arial"/>
      <w:sz w:val="24"/>
    </w:rPr>
  </w:style>
  <w:style w:type="paragraph" w:styleId="NormalnyWeb">
    <w:name w:val="Normal (Web)"/>
    <w:basedOn w:val="Normalny"/>
    <w:rsid w:val="0013003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unhideWhenUsed/>
    <w:rsid w:val="00102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022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214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F21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214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2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214E"/>
    <w:rPr>
      <w:b/>
      <w:bCs/>
    </w:rPr>
  </w:style>
  <w:style w:type="paragraph" w:styleId="Poprawka">
    <w:name w:val="Revision"/>
    <w:hidden/>
    <w:uiPriority w:val="99"/>
    <w:semiHidden/>
    <w:rsid w:val="00812C42"/>
    <w:rPr>
      <w:sz w:val="24"/>
      <w:szCs w:val="24"/>
    </w:rPr>
  </w:style>
  <w:style w:type="character" w:customStyle="1" w:styleId="Bodytext">
    <w:name w:val="Body text_"/>
    <w:basedOn w:val="Domylnaczcionkaakapitu"/>
    <w:link w:val="Tekstpodstawowy1"/>
    <w:rsid w:val="005C5125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C5125"/>
    <w:pPr>
      <w:widowControl w:val="0"/>
      <w:shd w:val="clear" w:color="auto" w:fill="FFFFFF"/>
      <w:spacing w:before="180" w:after="60" w:line="274" w:lineRule="exact"/>
      <w:ind w:hanging="5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tg4ytaobwgaytq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2019-01-25T08:36:00Z</dcterms:created>
  <dcterms:modified xsi:type="dcterms:W3CDTF">2019-01-25T08:36:00Z</dcterms:modified>
</cp:coreProperties>
</file>