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8"/>
        <w:gridCol w:w="1064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346"/>
      </w:tblGrid>
      <w:tr w:rsidR="00995149" w:rsidRPr="00345AFC" w14:paraId="1E99AF88" w14:textId="77777777" w:rsidTr="003E0073">
        <w:trPr>
          <w:trHeight w:val="1611"/>
          <w:jc w:val="center"/>
        </w:trPr>
        <w:tc>
          <w:tcPr>
            <w:tcW w:w="6631" w:type="dxa"/>
            <w:gridSpan w:val="17"/>
          </w:tcPr>
          <w:p w14:paraId="2991B847" w14:textId="77777777" w:rsidR="00995149" w:rsidRPr="00345AFC" w:rsidRDefault="00FE20C2" w:rsidP="008013EA">
            <w:pPr>
              <w:spacing w:before="120"/>
              <w:ind w:hanging="45"/>
            </w:pPr>
            <w:bookmarkStart w:id="0" w:name="_GoBack"/>
            <w:bookmarkEnd w:id="0"/>
            <w:r w:rsidRPr="00345AFC">
              <w:br w:type="page"/>
            </w:r>
            <w:bookmarkStart w:id="1" w:name="t1"/>
            <w:r w:rsidR="00995149" w:rsidRPr="00345AFC">
              <w:rPr>
                <w:b/>
              </w:rPr>
              <w:t xml:space="preserve">Nazwa </w:t>
            </w:r>
            <w:r w:rsidR="00140265" w:rsidRPr="00345AFC">
              <w:rPr>
                <w:b/>
              </w:rPr>
              <w:t>rozporządzenia</w:t>
            </w:r>
          </w:p>
          <w:p w14:paraId="56574AB1" w14:textId="77777777" w:rsidR="00345AFC" w:rsidRPr="00345AFC" w:rsidRDefault="00D0402F" w:rsidP="008013EA">
            <w:pPr>
              <w:pStyle w:val="TYTUAKTUprzedmiotregulacjiustawylubrozporzdzenia"/>
              <w:spacing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45AFC">
              <w:rPr>
                <w:rFonts w:ascii="Times New Roman" w:hAnsi="Times New Roman" w:cs="Times New Roman"/>
                <w:b w:val="0"/>
              </w:rPr>
              <w:t xml:space="preserve">Rozporządzenie Ministra Edukacji Narodowej </w:t>
            </w:r>
            <w:r w:rsidR="008623DD">
              <w:rPr>
                <w:rFonts w:ascii="Times New Roman" w:hAnsi="Times New Roman" w:cs="Times New Roman"/>
                <w:b w:val="0"/>
              </w:rPr>
              <w:t xml:space="preserve">zmieniające rozporządzenie </w:t>
            </w:r>
            <w:r w:rsidR="00345AFC" w:rsidRPr="00345AFC">
              <w:rPr>
                <w:rFonts w:ascii="Times New Roman" w:hAnsi="Times New Roman" w:cs="Times New Roman"/>
                <w:b w:val="0"/>
              </w:rPr>
              <w:t xml:space="preserve">w sprawie podstawy programowej wychowania przedszkolnego oraz podstawy programowej kształcenia ogólnego dla 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      </w:r>
          </w:p>
          <w:p w14:paraId="6DD94C67" w14:textId="77777777" w:rsidR="00995149" w:rsidRPr="00345AFC" w:rsidRDefault="00995149" w:rsidP="008013EA">
            <w:pPr>
              <w:ind w:hanging="34"/>
              <w:rPr>
                <w:b/>
              </w:rPr>
            </w:pPr>
            <w:r w:rsidRPr="00345AFC">
              <w:rPr>
                <w:b/>
              </w:rPr>
              <w:t>Ministerstwo wiodące i ministerstwa współpracujące</w:t>
            </w:r>
          </w:p>
          <w:bookmarkEnd w:id="1"/>
          <w:p w14:paraId="4454FF08" w14:textId="77777777" w:rsidR="00995149" w:rsidRPr="00345AFC" w:rsidRDefault="00995149" w:rsidP="008013EA">
            <w:pPr>
              <w:ind w:hanging="34"/>
            </w:pPr>
            <w:r w:rsidRPr="00345AFC">
              <w:t>Ministerstwo Edukacji Narodowej</w:t>
            </w:r>
          </w:p>
          <w:p w14:paraId="0BC8BA3D" w14:textId="77777777" w:rsidR="00995149" w:rsidRPr="00345AFC" w:rsidRDefault="00995149" w:rsidP="008013EA">
            <w:pPr>
              <w:rPr>
                <w:b/>
              </w:rPr>
            </w:pPr>
          </w:p>
          <w:p w14:paraId="2E9D71F4" w14:textId="77777777" w:rsidR="00995149" w:rsidRPr="00345AFC" w:rsidRDefault="00995149" w:rsidP="008013EA">
            <w:pPr>
              <w:rPr>
                <w:b/>
              </w:rPr>
            </w:pPr>
            <w:r w:rsidRPr="00345AFC">
              <w:rPr>
                <w:b/>
              </w:rPr>
              <w:t xml:space="preserve">Osoba odpowiedzialna za projekt w randze Ministra, Sekretarza Stanu lub Podsekretarza Stanu </w:t>
            </w:r>
          </w:p>
          <w:p w14:paraId="69297588" w14:textId="77777777" w:rsidR="00995149" w:rsidRPr="00345AFC" w:rsidRDefault="007179F1" w:rsidP="008013EA">
            <w:r w:rsidRPr="00345AFC">
              <w:t>Maciej Kopeć</w:t>
            </w:r>
            <w:r w:rsidR="00995149" w:rsidRPr="00345AFC">
              <w:t>, Podsekretarz Stanu</w:t>
            </w:r>
          </w:p>
          <w:p w14:paraId="768EBEB7" w14:textId="77777777" w:rsidR="00995149" w:rsidRPr="00345AFC" w:rsidRDefault="00995149" w:rsidP="008013EA">
            <w:pPr>
              <w:spacing w:before="120"/>
              <w:ind w:hanging="45"/>
              <w:rPr>
                <w:b/>
              </w:rPr>
            </w:pPr>
            <w:r w:rsidRPr="00345AFC">
              <w:rPr>
                <w:b/>
              </w:rPr>
              <w:t>Kontakt do opiekuna merytorycznego projektu</w:t>
            </w:r>
          </w:p>
          <w:p w14:paraId="5D376A4A" w14:textId="77777777" w:rsidR="00995149" w:rsidRPr="00345AFC" w:rsidRDefault="007179F1" w:rsidP="008013EA">
            <w:pPr>
              <w:ind w:hanging="34"/>
            </w:pPr>
            <w:r w:rsidRPr="00345AFC">
              <w:t xml:space="preserve">Alina Sarnecka </w:t>
            </w:r>
            <w:r w:rsidR="00995149" w:rsidRPr="00345AFC">
              <w:t xml:space="preserve"> tel. (22) 34 74 </w:t>
            </w:r>
            <w:r w:rsidRPr="00345AFC">
              <w:t>467</w:t>
            </w:r>
          </w:p>
        </w:tc>
        <w:tc>
          <w:tcPr>
            <w:tcW w:w="4230" w:type="dxa"/>
            <w:gridSpan w:val="12"/>
            <w:shd w:val="clear" w:color="auto" w:fill="FFFFFF"/>
          </w:tcPr>
          <w:p w14:paraId="31F583CF" w14:textId="0E9FFC88" w:rsidR="00995149" w:rsidRPr="00345AFC" w:rsidRDefault="00995149" w:rsidP="008013EA">
            <w:pPr>
              <w:rPr>
                <w:b/>
              </w:rPr>
            </w:pPr>
            <w:r w:rsidRPr="00345AFC">
              <w:rPr>
                <w:b/>
              </w:rPr>
              <w:t>Data sporządzenia</w:t>
            </w:r>
            <w:r w:rsidRPr="00345AFC">
              <w:rPr>
                <w:b/>
              </w:rPr>
              <w:br/>
            </w:r>
            <w:r w:rsidR="00CB2D81">
              <w:t>1</w:t>
            </w:r>
            <w:r w:rsidR="00DB7025">
              <w:t>5</w:t>
            </w:r>
            <w:r w:rsidR="00FF6F4A">
              <w:t>.</w:t>
            </w:r>
            <w:r w:rsidR="00750181">
              <w:t>03</w:t>
            </w:r>
            <w:r w:rsidR="00FF6F4A">
              <w:t>.2018</w:t>
            </w:r>
            <w:r w:rsidR="00AB4B47">
              <w:t xml:space="preserve"> r.</w:t>
            </w:r>
          </w:p>
          <w:p w14:paraId="32CE5765" w14:textId="77777777" w:rsidR="00995149" w:rsidRPr="00345AFC" w:rsidRDefault="00995149" w:rsidP="008013EA">
            <w:pPr>
              <w:rPr>
                <w:b/>
              </w:rPr>
            </w:pPr>
          </w:p>
          <w:p w14:paraId="30FB8433" w14:textId="59B66C03" w:rsidR="00995149" w:rsidRPr="00345AFC" w:rsidRDefault="00995149" w:rsidP="008013EA">
            <w:r w:rsidRPr="00345AFC">
              <w:rPr>
                <w:b/>
              </w:rPr>
              <w:t xml:space="preserve">Źródło: </w:t>
            </w:r>
            <w:bookmarkStart w:id="2" w:name="Lista1"/>
            <w:r w:rsidR="00345AFC">
              <w:rPr>
                <w:b/>
              </w:rPr>
              <w:t xml:space="preserve"> </w:t>
            </w:r>
            <w:r w:rsidR="00345AFC" w:rsidRPr="00AD1009">
              <w:t xml:space="preserve">art. </w:t>
            </w:r>
            <w:r w:rsidR="00345AFC">
              <w:t>47</w:t>
            </w:r>
            <w:r w:rsidR="00345AFC" w:rsidRPr="00AD1009">
              <w:t xml:space="preserve"> ust. </w:t>
            </w:r>
            <w:r w:rsidR="00345AFC">
              <w:t>1</w:t>
            </w:r>
            <w:r w:rsidR="00345AFC" w:rsidRPr="00AD1009">
              <w:t xml:space="preserve"> pkt </w:t>
            </w:r>
            <w:r w:rsidR="00345AFC">
              <w:t>1</w:t>
            </w:r>
            <w:r w:rsidR="00345AFC" w:rsidRPr="00AD1009">
              <w:t xml:space="preserve"> </w:t>
            </w:r>
            <w:r w:rsidR="00345AFC">
              <w:t xml:space="preserve">lit. </w:t>
            </w:r>
            <w:r w:rsidR="0061300D">
              <w:t xml:space="preserve">a, </w:t>
            </w:r>
            <w:r w:rsidR="00345AFC" w:rsidRPr="00CB2D81">
              <w:t>b,</w:t>
            </w:r>
            <w:r w:rsidR="00345AFC">
              <w:t xml:space="preserve"> e</w:t>
            </w:r>
            <w:r w:rsidR="0061300D">
              <w:t>, f</w:t>
            </w:r>
            <w:r w:rsidR="008623DD">
              <w:t xml:space="preserve"> </w:t>
            </w:r>
            <w:r w:rsidR="00345AFC">
              <w:t xml:space="preserve"> i h </w:t>
            </w:r>
            <w:r w:rsidR="00345AFC" w:rsidRPr="00AD1009">
              <w:t xml:space="preserve">ustawy z dnia </w:t>
            </w:r>
            <w:r w:rsidR="00DE7248">
              <w:t>14</w:t>
            </w:r>
            <w:r w:rsidR="00091559">
              <w:t xml:space="preserve"> grudnia 2016 r. </w:t>
            </w:r>
            <w:r w:rsidR="00DE7248">
              <w:t xml:space="preserve">– </w:t>
            </w:r>
            <w:r w:rsidR="00345AFC">
              <w:t>Prawo</w:t>
            </w:r>
            <w:r w:rsidR="00345AFC" w:rsidRPr="00AD1009">
              <w:t xml:space="preserve"> oświat</w:t>
            </w:r>
            <w:r w:rsidR="00345AFC">
              <w:t>owe</w:t>
            </w:r>
            <w:r w:rsidR="00345AFC" w:rsidRPr="00AD1009">
              <w:t xml:space="preserve"> </w:t>
            </w:r>
            <w:r w:rsidR="00345AFC" w:rsidRPr="00EB2E4F">
              <w:t>(Dz. U.</w:t>
            </w:r>
            <w:r w:rsidR="00DE7248" w:rsidRPr="00EB2E4F">
              <w:t xml:space="preserve"> </w:t>
            </w:r>
            <w:r w:rsidR="005C6296">
              <w:t xml:space="preserve">z 2017 r. </w:t>
            </w:r>
            <w:r w:rsidR="00DE7248" w:rsidRPr="00EB2E4F">
              <w:t xml:space="preserve">poz. </w:t>
            </w:r>
            <w:r w:rsidR="00345AFC" w:rsidRPr="00EB2E4F">
              <w:t xml:space="preserve"> </w:t>
            </w:r>
            <w:r w:rsidR="005C6296">
              <w:t>59</w:t>
            </w:r>
            <w:r w:rsidR="0061300D">
              <w:t>, z późn. zm.</w:t>
            </w:r>
            <w:r w:rsidR="00345AFC" w:rsidRPr="00EB2E4F">
              <w:t>)</w:t>
            </w:r>
          </w:p>
          <w:bookmarkEnd w:id="2"/>
          <w:p w14:paraId="3C0B6F72" w14:textId="77777777" w:rsidR="00DE7248" w:rsidRDefault="00DE7248" w:rsidP="008013EA">
            <w:pPr>
              <w:spacing w:before="120"/>
              <w:rPr>
                <w:b/>
              </w:rPr>
            </w:pPr>
          </w:p>
          <w:p w14:paraId="1DBF36DE" w14:textId="77777777" w:rsidR="00995149" w:rsidRPr="00345AFC" w:rsidRDefault="001F4007" w:rsidP="008013EA">
            <w:pPr>
              <w:spacing w:before="120"/>
              <w:rPr>
                <w:b/>
              </w:rPr>
            </w:pPr>
            <w:r w:rsidRPr="00345AFC">
              <w:rPr>
                <w:b/>
              </w:rPr>
              <w:t>Numer w wykazie prac legislacyjnych Ministra Edukacji Narodowej:</w:t>
            </w:r>
            <w:r w:rsidR="007179F1" w:rsidRPr="00345AFC">
              <w:rPr>
                <w:b/>
              </w:rPr>
              <w:t xml:space="preserve"> </w:t>
            </w:r>
            <w:r w:rsidR="008623DD">
              <w:t>116</w:t>
            </w:r>
          </w:p>
          <w:p w14:paraId="4BA89CF1" w14:textId="77777777" w:rsidR="00995149" w:rsidRPr="00345AFC" w:rsidRDefault="00995149" w:rsidP="008013EA"/>
        </w:tc>
      </w:tr>
      <w:tr w:rsidR="00995149" w:rsidRPr="00345AFC" w14:paraId="6E41ACAD" w14:textId="77777777" w:rsidTr="003E0073">
        <w:trPr>
          <w:trHeight w:val="142"/>
          <w:jc w:val="center"/>
        </w:trPr>
        <w:tc>
          <w:tcPr>
            <w:tcW w:w="10861" w:type="dxa"/>
            <w:gridSpan w:val="29"/>
            <w:shd w:val="clear" w:color="auto" w:fill="99CCFF"/>
          </w:tcPr>
          <w:p w14:paraId="08EFB00E" w14:textId="77777777" w:rsidR="00995149" w:rsidRPr="00345AFC" w:rsidRDefault="00995149" w:rsidP="008013EA">
            <w:pPr>
              <w:ind w:left="57"/>
              <w:jc w:val="center"/>
              <w:rPr>
                <w:b/>
              </w:rPr>
            </w:pPr>
            <w:r w:rsidRPr="00345AFC">
              <w:rPr>
                <w:b/>
              </w:rPr>
              <w:t>OCENA SKUTKÓW REGULACJI</w:t>
            </w:r>
          </w:p>
        </w:tc>
      </w:tr>
      <w:tr w:rsidR="00995149" w:rsidRPr="00345AFC" w14:paraId="1CC83945" w14:textId="77777777" w:rsidTr="003E0073">
        <w:trPr>
          <w:trHeight w:val="333"/>
          <w:jc w:val="center"/>
        </w:trPr>
        <w:tc>
          <w:tcPr>
            <w:tcW w:w="10861" w:type="dxa"/>
            <w:gridSpan w:val="29"/>
            <w:shd w:val="clear" w:color="auto" w:fill="99CCFF"/>
            <w:vAlign w:val="center"/>
          </w:tcPr>
          <w:p w14:paraId="688A4D66" w14:textId="77777777" w:rsidR="00995149" w:rsidRPr="00345AFC" w:rsidRDefault="00995149" w:rsidP="008013EA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b/>
              </w:rPr>
            </w:pPr>
            <w:r w:rsidRPr="00345AFC">
              <w:rPr>
                <w:b/>
              </w:rPr>
              <w:t>Jaki problem jest rozwiązywany?</w:t>
            </w:r>
            <w:bookmarkStart w:id="3" w:name="Wybór1"/>
            <w:bookmarkEnd w:id="3"/>
          </w:p>
        </w:tc>
      </w:tr>
      <w:tr w:rsidR="00995149" w:rsidRPr="00345AFC" w14:paraId="0510341B" w14:textId="77777777" w:rsidTr="003E0073">
        <w:trPr>
          <w:trHeight w:val="142"/>
          <w:jc w:val="center"/>
        </w:trPr>
        <w:tc>
          <w:tcPr>
            <w:tcW w:w="10861" w:type="dxa"/>
            <w:gridSpan w:val="29"/>
            <w:shd w:val="clear" w:color="auto" w:fill="FFFFFF"/>
          </w:tcPr>
          <w:p w14:paraId="4849BF2B" w14:textId="7C7CD2D9" w:rsidR="00EF5741" w:rsidRDefault="00EF5741" w:rsidP="00CB2D81">
            <w:pPr>
              <w:pStyle w:val="TYTUAKTUprzedmiotregulacjiustawylubrozporzdzenia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Projekt rozporządzenia przewiduje wprowadzenie nowej podstawy programowej kształcenia ogólnego dla </w:t>
            </w:r>
            <w:r>
              <w:rPr>
                <w:b w:val="0"/>
              </w:rPr>
              <w:t>branżowej szkoły I stopnia oraz dla szkoły policealnej, pocz</w:t>
            </w:r>
            <w:r w:rsidR="00CB2D81">
              <w:rPr>
                <w:b w:val="0"/>
              </w:rPr>
              <w:t>ąwszy od roku szkolnego 2019/202</w:t>
            </w:r>
            <w:r>
              <w:rPr>
                <w:b w:val="0"/>
              </w:rPr>
              <w:t>0.</w:t>
            </w:r>
          </w:p>
          <w:p w14:paraId="5037A9D0" w14:textId="77777777" w:rsidR="00EF5741" w:rsidRDefault="00EF5741" w:rsidP="00CB2D81">
            <w:pPr>
              <w:autoSpaceDE w:val="0"/>
              <w:autoSpaceDN w:val="0"/>
              <w:adjustRightInd w:val="0"/>
              <w:jc w:val="both"/>
            </w:pPr>
            <w:r>
              <w:t xml:space="preserve">Harmonogram wdrażania zmian programowych w kształceniu ogólnym jest skorelowany </w:t>
            </w:r>
            <w:r>
              <w:br/>
              <w:t>z harmonogramem przekształceń poszczególnych typów szkół, określonym w ustawie z dnia 14 grudnia 2016 r. – Przepisy wprowadzające ustawę – Prawo oświatowe</w:t>
            </w:r>
            <w:r>
              <w:rPr>
                <w:i/>
              </w:rPr>
              <w:t xml:space="preserve"> </w:t>
            </w:r>
            <w:r>
              <w:t>(Dz. U. z 2017 r. poz. 60, z późn. zm.).</w:t>
            </w:r>
            <w:r>
              <w:rPr>
                <w:i/>
              </w:rPr>
              <w:t xml:space="preserve"> </w:t>
            </w:r>
          </w:p>
          <w:p w14:paraId="027A7E90" w14:textId="5BB1C6DE" w:rsidR="00EF5741" w:rsidRDefault="00EF5741" w:rsidP="00CB2D81">
            <w:pPr>
              <w:autoSpaceDE w:val="0"/>
              <w:autoSpaceDN w:val="0"/>
              <w:adjustRightInd w:val="0"/>
              <w:jc w:val="both"/>
            </w:pPr>
            <w:r>
              <w:t>W roku szkolnym 2019/2020 naukę w branżowej szkole I stopnia rozpoczną pierwsi absolwenci ośmioletniej szkoły podstawowej. W związku z powyższym, projekt rozporządzenia przewiduje dla ww. absolwentów nową podstawę programową kształcenia ogólnego dla branżowej szkoły I stopnia (dodawany załącznik nr 4a</w:t>
            </w:r>
            <w:r w:rsidR="00CB2D81">
              <w:t>, określony jako załącznik nr 1 do projektowanego rozporządzenia</w:t>
            </w:r>
            <w:r>
              <w:t>), która jest spójna z podstawą programową dla ośmioletniej szkoły podstawowej (określoną w załączniku nr 2 do ww. rozporządzenia Ministra Edukacji Narodowej z dnia 14 lutego 2017 r.), jak również z podstawą programową kształcenia ogólnego dla branżowej szkoły II stopnia dla uczniów będących absolwentami ośmioletniej szkoły podstawowej, określoną w załączniku nr 3 do rozporządzenia Ministra Edukacji Narodowej z dnia 30 stycznia 2018 r. w sprawie podstawy programowej kształcenia ogólnego dla liceum ogólnokształcącego, technikum oraz branżowej szkoły II stopnia (Dz.U. po</w:t>
            </w:r>
            <w:r w:rsidR="00CB2D81">
              <w:t>z. 467</w:t>
            </w:r>
            <w:r>
              <w:t>).</w:t>
            </w:r>
          </w:p>
          <w:p w14:paraId="3056004D" w14:textId="7FD43239" w:rsidR="00EF5741" w:rsidRDefault="00EF5741" w:rsidP="00CB2D8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Nowa podstawa programowa kształcenia ogólnego dla branżowej szkoły I stopnia określona w dodawanym załączniku nr 4a będzie wdrażana sukcesywnie począwszy od roku szkolnego 2019/2020 w klasach I, a w następnych latach w kolejnych klasach tej szkoły. W klasach </w:t>
            </w:r>
            <w:r w:rsidR="000E5892">
              <w:t xml:space="preserve">branżowej szkoły I stopnia </w:t>
            </w:r>
            <w:r w:rsidR="008A1EDB">
              <w:t xml:space="preserve">w oddziałach </w:t>
            </w:r>
            <w:r w:rsidR="000E5892">
              <w:t xml:space="preserve">dla absolwentów dotychczasowego gimnazjum </w:t>
            </w:r>
            <w:r>
              <w:t xml:space="preserve">będzie realizowana dotychczasowa podstawa programowa kształcenia ogólnego określona w załączniku nr 4 </w:t>
            </w:r>
          </w:p>
          <w:p w14:paraId="6E566755" w14:textId="77777777" w:rsidR="00EF5741" w:rsidRDefault="00EF5741" w:rsidP="00CB2D81">
            <w:pPr>
              <w:autoSpaceDE w:val="0"/>
              <w:autoSpaceDN w:val="0"/>
              <w:adjustRightInd w:val="0"/>
              <w:jc w:val="both"/>
            </w:pPr>
          </w:p>
          <w:p w14:paraId="713A9100" w14:textId="77777777" w:rsidR="008623DD" w:rsidRDefault="00EF5741" w:rsidP="002119BC">
            <w:pPr>
              <w:jc w:val="both"/>
            </w:pPr>
            <w:r>
              <w:t>Projekt rozporządzenia przewiduje również wprowadzenie nowej podstawy programowej kształcenia ogólnego dla szkoły policealnej (nowy załącznik nr 6a</w:t>
            </w:r>
            <w:r w:rsidR="00CB2D81">
              <w:t>, określony jako załącznik nr 2 do projektowanego rozporządzenia</w:t>
            </w:r>
            <w:r>
              <w:t xml:space="preserve">), która również będzie wdrażana sukcesywnie począwszy od roku szkolnego 2019/2020 w semestrach I, a w następnych latach w kolejnych semestrach tych szkół. W pozostałych semestrach będzie realizowana dotychczasowa podstawa programowa kształcenia ogólnego określona w załączniku nr 6 (tj. w roku szkolnym 2019/2020 w semestrach II–V, a w roku szkolnym 2020/2021 w semestrach IV i V). </w:t>
            </w:r>
          </w:p>
          <w:p w14:paraId="6ED9A34F" w14:textId="77777777" w:rsidR="002119BC" w:rsidRDefault="002119BC" w:rsidP="002119BC">
            <w:pPr>
              <w:jc w:val="both"/>
            </w:pPr>
          </w:p>
          <w:p w14:paraId="59BB64A0" w14:textId="4646C364" w:rsidR="002119BC" w:rsidRPr="002119BC" w:rsidRDefault="002119BC" w:rsidP="002119BC">
            <w:pPr>
              <w:pStyle w:val="TYTUAKTUprzedmiotregulacjiustawylubrozporzdzenia"/>
              <w:spacing w:before="0" w:after="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Projekt rozporządzenia przewiduje również drobną korektę w podstawie programowej kształcenia ogólnego dla szkoły podstawowej, w części opisującej treści nauczania – wymagania szczegółowe dla przedmiotu </w:t>
            </w:r>
            <w:r>
              <w:rPr>
                <w:b w:val="0"/>
                <w:i/>
              </w:rPr>
              <w:t>matematyka</w:t>
            </w:r>
            <w:r>
              <w:rPr>
                <w:b w:val="0"/>
              </w:rPr>
              <w:t xml:space="preserve"> (zmiana w </w:t>
            </w:r>
            <w:r>
              <w:rPr>
                <w:rFonts w:cs="Times"/>
                <w:b w:val="0"/>
              </w:rPr>
              <w:t>§</w:t>
            </w:r>
            <w:r>
              <w:rPr>
                <w:b w:val="0"/>
              </w:rPr>
              <w:t xml:space="preserve"> 1 pkt 2 projektu rozporządzenia, dotycząca obecnie obowiązującego załącznika nr 2 do ww. rozporządzenia </w:t>
            </w:r>
            <w:r>
              <w:rPr>
                <w:rFonts w:ascii="Times New Roman" w:hAnsi="Times New Roman" w:cs="Times New Roman"/>
                <w:b w:val="0"/>
              </w:rPr>
              <w:t>Ministra Edukacji Narodowej z dnia 14 lutego 2017 r.).</w:t>
            </w:r>
          </w:p>
        </w:tc>
      </w:tr>
      <w:tr w:rsidR="00995149" w:rsidRPr="00345AFC" w14:paraId="29DD4B19" w14:textId="77777777" w:rsidTr="003E0073">
        <w:trPr>
          <w:trHeight w:val="142"/>
          <w:jc w:val="center"/>
        </w:trPr>
        <w:tc>
          <w:tcPr>
            <w:tcW w:w="10861" w:type="dxa"/>
            <w:gridSpan w:val="29"/>
            <w:shd w:val="clear" w:color="auto" w:fill="99CCFF"/>
            <w:vAlign w:val="center"/>
          </w:tcPr>
          <w:p w14:paraId="59ABAB73" w14:textId="77777777" w:rsidR="00995149" w:rsidRPr="00345AFC" w:rsidRDefault="00995149" w:rsidP="00EF5741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b/>
              </w:rPr>
            </w:pPr>
            <w:r w:rsidRPr="00345AFC">
              <w:rPr>
                <w:b/>
                <w:spacing w:val="-2"/>
              </w:rPr>
              <w:t>Rekomendowane rozwiązanie, w tym planowane narzędzia interwencji, i oczekiwany efekt</w:t>
            </w:r>
          </w:p>
        </w:tc>
      </w:tr>
      <w:tr w:rsidR="00995149" w:rsidRPr="00345AFC" w14:paraId="45543864" w14:textId="77777777" w:rsidTr="003E0073">
        <w:trPr>
          <w:trHeight w:val="142"/>
          <w:jc w:val="center"/>
        </w:trPr>
        <w:tc>
          <w:tcPr>
            <w:tcW w:w="10861" w:type="dxa"/>
            <w:gridSpan w:val="29"/>
            <w:shd w:val="clear" w:color="auto" w:fill="auto"/>
          </w:tcPr>
          <w:p w14:paraId="1C42AF85" w14:textId="3B7E857F" w:rsidR="00E42EFB" w:rsidRPr="00CB2D81" w:rsidRDefault="00EF5741" w:rsidP="008A1EDB">
            <w:pPr>
              <w:autoSpaceDE w:val="0"/>
              <w:autoSpaceDN w:val="0"/>
              <w:adjustRightInd w:val="0"/>
              <w:jc w:val="both"/>
            </w:pPr>
            <w:r>
              <w:t>Wprowadzana p</w:t>
            </w:r>
            <w:r w:rsidRPr="00665CE2">
              <w:t xml:space="preserve">odstawa programowa kształcenia ogólnego dla branżowej szkoły I stopnia </w:t>
            </w:r>
            <w:r>
              <w:t xml:space="preserve">spójna z podstawą programową dla ośmioletniej szkoły podstawowej (określoną w załączniku nr 2 do ww. rozporządzenia Ministra Edukacji Narodowej z dnia 14 lutego 2017 r.), jak również z podstawą programową kształcenia ogólnego dla branżowej szkoły II stopnia dla uczniów będących absolwentami ośmioletniej szkoły podstawowej, określoną w załączniku nr 3 do rozporządzenia Ministra Edukacji Narodowej z dnia 30 stycznia 2018 r. w sprawie podstawy programowej kształcenia ogólnego dla liceum ogólnokształcącego, technikum oraz branżowej szkoły II stopnia (Dz. U. poz </w:t>
            </w:r>
            <w:r w:rsidR="000A69D3">
              <w:t>467</w:t>
            </w:r>
            <w:r>
              <w:t xml:space="preserve">). Podstawa ta wdrażana sukcesywnie począwszy od roku szkolnego 2019/2020 w klasach I, a w następnych latach w kolejnych klasach tej szkoły. </w:t>
            </w:r>
            <w:r w:rsidR="000E5892">
              <w:t xml:space="preserve">W klasach branżowej szkoły I stopnia </w:t>
            </w:r>
            <w:r w:rsidR="008A1EDB" w:rsidRPr="008A1EDB">
              <w:t xml:space="preserve">w oddziałach </w:t>
            </w:r>
            <w:r w:rsidR="000E5892">
              <w:t>dla absolwentów dotychczasowego gimnazjum będzie realizowana dotychczasowa podstawa programowa kształcenia ogóln</w:t>
            </w:r>
            <w:r w:rsidR="008A1EDB">
              <w:t xml:space="preserve">ego określona w załączniku nr 4. </w:t>
            </w:r>
            <w:r>
              <w:t xml:space="preserve"> </w:t>
            </w:r>
          </w:p>
        </w:tc>
      </w:tr>
      <w:tr w:rsidR="00995149" w:rsidRPr="00345AFC" w14:paraId="7794BA02" w14:textId="77777777" w:rsidTr="003E0073">
        <w:trPr>
          <w:trHeight w:val="307"/>
          <w:jc w:val="center"/>
        </w:trPr>
        <w:tc>
          <w:tcPr>
            <w:tcW w:w="10861" w:type="dxa"/>
            <w:gridSpan w:val="29"/>
            <w:shd w:val="clear" w:color="auto" w:fill="99CCFF"/>
            <w:vAlign w:val="center"/>
          </w:tcPr>
          <w:p w14:paraId="4B041B36" w14:textId="77777777" w:rsidR="00995149" w:rsidRPr="00345AFC" w:rsidRDefault="00995149" w:rsidP="008013EA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b/>
              </w:rPr>
            </w:pPr>
            <w:r w:rsidRPr="00345AFC">
              <w:rPr>
                <w:b/>
                <w:spacing w:val="-2"/>
              </w:rPr>
              <w:t>Jak problem został rozwiązany w innych krajach, w szczególności krajach członkowskich OECD/UE</w:t>
            </w:r>
            <w:r w:rsidRPr="00345AFC">
              <w:rPr>
                <w:b/>
              </w:rPr>
              <w:t>?</w:t>
            </w:r>
            <w:r w:rsidRPr="00345AFC">
              <w:rPr>
                <w:i/>
              </w:rPr>
              <w:t xml:space="preserve"> </w:t>
            </w:r>
          </w:p>
        </w:tc>
      </w:tr>
      <w:tr w:rsidR="00995149" w:rsidRPr="00345AFC" w14:paraId="60597723" w14:textId="77777777" w:rsidTr="003E0073">
        <w:trPr>
          <w:trHeight w:val="1551"/>
          <w:jc w:val="center"/>
        </w:trPr>
        <w:tc>
          <w:tcPr>
            <w:tcW w:w="10861" w:type="dxa"/>
            <w:gridSpan w:val="29"/>
            <w:shd w:val="clear" w:color="auto" w:fill="auto"/>
          </w:tcPr>
          <w:p w14:paraId="1FB0E54D" w14:textId="77777777" w:rsidR="00512279" w:rsidRPr="00512279" w:rsidRDefault="00512279" w:rsidP="008013EA">
            <w:pPr>
              <w:jc w:val="both"/>
              <w:rPr>
                <w:rFonts w:eastAsia="Arial"/>
              </w:rPr>
            </w:pPr>
            <w:r w:rsidRPr="00512279">
              <w:rPr>
                <w:rFonts w:eastAsia="Arial"/>
              </w:rPr>
              <w:lastRenderedPageBreak/>
              <w:t xml:space="preserve">Podstawa programowa jest </w:t>
            </w:r>
            <w:r>
              <w:rPr>
                <w:rFonts w:eastAsia="Arial"/>
              </w:rPr>
              <w:t>w zdecydowanej większości</w:t>
            </w:r>
            <w:r w:rsidRPr="00512279">
              <w:rPr>
                <w:rFonts w:eastAsia="Arial"/>
              </w:rPr>
              <w:t xml:space="preserve"> państw</w:t>
            </w:r>
            <w:r>
              <w:rPr>
                <w:rFonts w:eastAsia="Arial"/>
              </w:rPr>
              <w:t xml:space="preserve"> </w:t>
            </w:r>
            <w:r w:rsidRPr="00512279">
              <w:rPr>
                <w:rFonts w:eastAsia="Arial"/>
              </w:rPr>
              <w:t>wyznaczana na szczeblu centralnym – w</w:t>
            </w:r>
            <w:r w:rsidR="008907FF">
              <w:rPr>
                <w:rFonts w:eastAsia="Arial"/>
              </w:rPr>
              <w:t> </w:t>
            </w:r>
            <w:r w:rsidRPr="00512279">
              <w:rPr>
                <w:rFonts w:eastAsia="Arial"/>
              </w:rPr>
              <w:t xml:space="preserve">postaci podstawowych treści albo wyznaczonych celów. W większości państw zmierza się do tego, </w:t>
            </w:r>
            <w:r w:rsidR="00AB4B47">
              <w:rPr>
                <w:rFonts w:eastAsia="Arial"/>
              </w:rPr>
              <w:t>a</w:t>
            </w:r>
            <w:r w:rsidRPr="00512279">
              <w:rPr>
                <w:rFonts w:eastAsia="Arial"/>
              </w:rPr>
              <w:t xml:space="preserve">by wszyscy uczniowie mieli dostęp do dobrej jakości kształcenia, dlatego niemal wszędzie władze centralne wyznaczają podstawę programową zawierającą treści lub cele, których muszą przestrzegać wszyscy nauczyciele. </w:t>
            </w:r>
          </w:p>
        </w:tc>
      </w:tr>
      <w:tr w:rsidR="003E0073" w14:paraId="214C277C" w14:textId="77777777" w:rsidTr="003E0073">
        <w:trPr>
          <w:trHeight w:val="359"/>
          <w:jc w:val="center"/>
        </w:trPr>
        <w:tc>
          <w:tcPr>
            <w:tcW w:w="1086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633C7472" w14:textId="77777777" w:rsidR="003E0073" w:rsidRDefault="003E0073" w:rsidP="003E0073">
            <w:pPr>
              <w:numPr>
                <w:ilvl w:val="0"/>
                <w:numId w:val="1"/>
              </w:num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Podmioty, na które oddziałuje rozporządzenie</w:t>
            </w:r>
          </w:p>
        </w:tc>
      </w:tr>
      <w:tr w:rsidR="003E0073" w14:paraId="03AF511C" w14:textId="77777777" w:rsidTr="003E0073">
        <w:trPr>
          <w:trHeight w:val="142"/>
          <w:jc w:val="center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935F" w14:textId="77777777" w:rsidR="003E0073" w:rsidRDefault="003E0073">
            <w:pPr>
              <w:spacing w:before="40"/>
              <w:jc w:val="center"/>
              <w:rPr>
                <w:spacing w:val="-2"/>
              </w:rPr>
            </w:pPr>
            <w:r>
              <w:rPr>
                <w:spacing w:val="-2"/>
              </w:rPr>
              <w:t>Grupa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5664" w14:textId="77777777" w:rsidR="003E0073" w:rsidRDefault="003E0073">
            <w:pPr>
              <w:spacing w:before="40"/>
              <w:jc w:val="center"/>
              <w:rPr>
                <w:spacing w:val="-2"/>
              </w:rPr>
            </w:pPr>
            <w:r>
              <w:rPr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FA9E" w14:textId="77777777" w:rsidR="003E0073" w:rsidRDefault="003E0073">
            <w:pPr>
              <w:spacing w:before="4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Źródło danych 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5EE6" w14:textId="77777777" w:rsidR="003E0073" w:rsidRDefault="003E0073">
            <w:pPr>
              <w:spacing w:before="40"/>
              <w:jc w:val="center"/>
              <w:rPr>
                <w:spacing w:val="-2"/>
              </w:rPr>
            </w:pPr>
            <w:r>
              <w:rPr>
                <w:spacing w:val="-2"/>
              </w:rPr>
              <w:t>Oddziaływanie</w:t>
            </w:r>
          </w:p>
        </w:tc>
      </w:tr>
      <w:tr w:rsidR="00D84E1E" w14:paraId="1DB9E65F" w14:textId="77777777" w:rsidTr="003E0073">
        <w:trPr>
          <w:trHeight w:val="142"/>
          <w:jc w:val="center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5172" w14:textId="77777777" w:rsidR="003F7407" w:rsidRDefault="00D84E1E">
            <w:pPr>
              <w:rPr>
                <w:spacing w:val="-2"/>
              </w:rPr>
            </w:pPr>
            <w:r>
              <w:rPr>
                <w:snapToGrid w:val="0"/>
              </w:rPr>
              <w:t>Uczniowie</w:t>
            </w:r>
            <w:r>
              <w:rPr>
                <w:spacing w:val="-2"/>
              </w:rPr>
              <w:t xml:space="preserve">: </w:t>
            </w:r>
          </w:p>
          <w:p w14:paraId="348C7E0C" w14:textId="72EB9064" w:rsidR="00D84E1E" w:rsidRPr="003F7407" w:rsidRDefault="003F7407">
            <w:pPr>
              <w:rPr>
                <w:spacing w:val="-2"/>
              </w:rPr>
            </w:pPr>
            <w:r w:rsidRPr="003F7407">
              <w:rPr>
                <w:spacing w:val="-2"/>
              </w:rPr>
              <w:t>branżowe</w:t>
            </w:r>
            <w:r w:rsidR="00AB4B47">
              <w:rPr>
                <w:spacing w:val="-2"/>
              </w:rPr>
              <w:t>j</w:t>
            </w:r>
            <w:r w:rsidRPr="003F7407">
              <w:rPr>
                <w:spacing w:val="-2"/>
              </w:rPr>
              <w:t xml:space="preserve"> szkoły I st</w:t>
            </w:r>
            <w:r w:rsidR="00AB4B47">
              <w:rPr>
                <w:spacing w:val="-2"/>
              </w:rPr>
              <w:t>opnia,</w:t>
            </w:r>
            <w:r w:rsidR="00D84E1E" w:rsidRPr="003F7407">
              <w:rPr>
                <w:spacing w:val="-2"/>
              </w:rPr>
              <w:t xml:space="preserve"> </w:t>
            </w:r>
          </w:p>
          <w:p w14:paraId="0CCC611D" w14:textId="77777777" w:rsidR="003F7407" w:rsidRDefault="00D84E1E">
            <w:pPr>
              <w:rPr>
                <w:spacing w:val="-2"/>
              </w:rPr>
            </w:pPr>
            <w:r>
              <w:rPr>
                <w:spacing w:val="-2"/>
              </w:rPr>
              <w:t>szkoły policealne</w:t>
            </w:r>
            <w:r w:rsidR="00AB4B47">
              <w:rPr>
                <w:spacing w:val="-2"/>
              </w:rPr>
              <w:t>j</w:t>
            </w:r>
            <w:r w:rsidR="003F7407">
              <w:rPr>
                <w:spacing w:val="-2"/>
              </w:rPr>
              <w:t xml:space="preserve"> </w:t>
            </w:r>
          </w:p>
          <w:p w14:paraId="17B64558" w14:textId="77777777" w:rsidR="00D84E1E" w:rsidRDefault="003F7407">
            <w:pPr>
              <w:rPr>
                <w:snapToGrid w:val="0"/>
              </w:rPr>
            </w:pPr>
            <w:r>
              <w:rPr>
                <w:spacing w:val="-2"/>
              </w:rPr>
              <w:t>(rok szkolny 2019/2020)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F019" w14:textId="77777777" w:rsidR="003F7407" w:rsidRDefault="003F7407">
            <w:pPr>
              <w:jc w:val="center"/>
              <w:rPr>
                <w:spacing w:val="-2"/>
              </w:rPr>
            </w:pPr>
          </w:p>
          <w:p w14:paraId="749DD295" w14:textId="1E5E05CF" w:rsidR="003F7407" w:rsidRDefault="009778D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74 </w:t>
            </w:r>
            <w:r w:rsidR="00D84E1E">
              <w:rPr>
                <w:spacing w:val="-2"/>
              </w:rPr>
              <w:t>tys.</w:t>
            </w:r>
            <w:r w:rsidR="003F7407">
              <w:rPr>
                <w:spacing w:val="-2"/>
              </w:rPr>
              <w:t xml:space="preserve"> </w:t>
            </w:r>
          </w:p>
          <w:p w14:paraId="65A4A6B9" w14:textId="77777777" w:rsidR="00AB4B47" w:rsidRDefault="00AB4B47">
            <w:pPr>
              <w:jc w:val="center"/>
              <w:rPr>
                <w:spacing w:val="-2"/>
              </w:rPr>
            </w:pPr>
          </w:p>
          <w:p w14:paraId="789CE623" w14:textId="77777777" w:rsidR="00D84E1E" w:rsidRDefault="003F740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220 tys.</w:t>
            </w:r>
            <w:r w:rsidR="00D84E1E">
              <w:rPr>
                <w:spacing w:val="-2"/>
              </w:rPr>
              <w:t xml:space="preserve"> </w:t>
            </w:r>
          </w:p>
          <w:p w14:paraId="3635D23D" w14:textId="77777777" w:rsidR="00D84E1E" w:rsidRDefault="00D84E1E">
            <w:pPr>
              <w:jc w:val="center"/>
              <w:rPr>
                <w:spacing w:val="-2"/>
              </w:rPr>
            </w:pPr>
          </w:p>
        </w:tc>
        <w:tc>
          <w:tcPr>
            <w:tcW w:w="2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3C03" w14:textId="77777777" w:rsidR="00D84E1E" w:rsidRDefault="00D84E1E">
            <w:r w:rsidRPr="00EC040F">
              <w:rPr>
                <w:spacing w:val="-2"/>
              </w:rPr>
              <w:t xml:space="preserve">Prognoza na podstawie danych z Systemu Informacji Oświatowej 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0E5E" w14:textId="2E656143" w:rsidR="00D84E1E" w:rsidRDefault="00D84E1E">
            <w:pPr>
              <w:rPr>
                <w:spacing w:val="-2"/>
              </w:rPr>
            </w:pPr>
            <w:r>
              <w:rPr>
                <w:spacing w:val="-2"/>
              </w:rPr>
              <w:t xml:space="preserve">Uczniowie tych szkół będą uczyć się w oparciu o </w:t>
            </w:r>
            <w:r w:rsidR="00AB4B47">
              <w:rPr>
                <w:spacing w:val="-2"/>
              </w:rPr>
              <w:t xml:space="preserve">nową </w:t>
            </w:r>
            <w:r>
              <w:rPr>
                <w:spacing w:val="-2"/>
              </w:rPr>
              <w:t>podstawę programową</w:t>
            </w:r>
            <w:r w:rsidR="00AB4B47">
              <w:rPr>
                <w:spacing w:val="-2"/>
              </w:rPr>
              <w:t xml:space="preserve"> kształcenia ogólnego</w:t>
            </w:r>
          </w:p>
        </w:tc>
      </w:tr>
      <w:tr w:rsidR="003E0073" w14:paraId="63A36B99" w14:textId="77777777" w:rsidTr="003E0073">
        <w:trPr>
          <w:trHeight w:val="142"/>
          <w:jc w:val="center"/>
        </w:trPr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8327" w14:textId="77777777" w:rsidR="003E0073" w:rsidRDefault="003E0073">
            <w:pPr>
              <w:rPr>
                <w:spacing w:val="-2"/>
              </w:rPr>
            </w:pPr>
            <w:r>
              <w:rPr>
                <w:spacing w:val="-2"/>
              </w:rPr>
              <w:t xml:space="preserve">Wydawcy podręczników szkolnych 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7BA9" w14:textId="77777777" w:rsidR="003E0073" w:rsidRDefault="003E0073" w:rsidP="003E0073">
            <w:pPr>
              <w:rPr>
                <w:spacing w:val="-2"/>
              </w:rPr>
            </w:pPr>
            <w:r>
              <w:rPr>
                <w:spacing w:val="-2"/>
              </w:rPr>
              <w:t>ok. 70 podmiotów</w:t>
            </w:r>
          </w:p>
        </w:tc>
        <w:tc>
          <w:tcPr>
            <w:tcW w:w="2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CC0D" w14:textId="77777777" w:rsidR="003E0073" w:rsidRDefault="003E0073">
            <w:pPr>
              <w:rPr>
                <w:spacing w:val="-2"/>
              </w:rPr>
            </w:pPr>
            <w:r>
              <w:rPr>
                <w:spacing w:val="-2"/>
              </w:rPr>
              <w:t xml:space="preserve">Dane </w:t>
            </w:r>
            <w:r w:rsidR="00FF2413">
              <w:rPr>
                <w:spacing w:val="-2"/>
              </w:rPr>
              <w:t>Ministerstwa Edukacji Narodowej</w:t>
            </w: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D767" w14:textId="77777777" w:rsidR="003E0073" w:rsidRDefault="003E0073">
            <w:pPr>
              <w:rPr>
                <w:spacing w:val="-2"/>
              </w:rPr>
            </w:pPr>
            <w:r>
              <w:rPr>
                <w:spacing w:val="-2"/>
              </w:rPr>
              <w:t>Konieczność przygotowania podręczników dostosowanych do nowej podstawy programowe</w:t>
            </w:r>
            <w:r w:rsidR="00123BE1">
              <w:rPr>
                <w:spacing w:val="-2"/>
              </w:rPr>
              <w:t>j</w:t>
            </w:r>
            <w:r>
              <w:rPr>
                <w:spacing w:val="-2"/>
              </w:rPr>
              <w:t xml:space="preserve"> </w:t>
            </w:r>
            <w:r w:rsidR="00AB4B47">
              <w:rPr>
                <w:spacing w:val="-2"/>
              </w:rPr>
              <w:t>kształcenia ogólnego</w:t>
            </w:r>
          </w:p>
        </w:tc>
      </w:tr>
      <w:tr w:rsidR="00995149" w:rsidRPr="00345AFC" w14:paraId="005587FC" w14:textId="77777777" w:rsidTr="00EA2221">
        <w:trPr>
          <w:trHeight w:val="302"/>
          <w:jc w:val="center"/>
        </w:trPr>
        <w:tc>
          <w:tcPr>
            <w:tcW w:w="10861" w:type="dxa"/>
            <w:gridSpan w:val="29"/>
            <w:shd w:val="clear" w:color="auto" w:fill="99CCFF"/>
            <w:vAlign w:val="center"/>
          </w:tcPr>
          <w:p w14:paraId="0F63BCFA" w14:textId="77777777" w:rsidR="00995149" w:rsidRPr="00345AFC" w:rsidRDefault="00995149" w:rsidP="008013EA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b/>
              </w:rPr>
            </w:pPr>
            <w:r w:rsidRPr="00345AFC">
              <w:rPr>
                <w:b/>
              </w:rPr>
              <w:t>Informacje na temat zakresu, czasu trwania i podsumowanie wyników konsultacji</w:t>
            </w:r>
          </w:p>
        </w:tc>
      </w:tr>
      <w:tr w:rsidR="00995149" w:rsidRPr="00345AFC" w14:paraId="4AEDB3B5" w14:textId="77777777" w:rsidTr="00EA2221">
        <w:trPr>
          <w:trHeight w:val="342"/>
          <w:jc w:val="center"/>
        </w:trPr>
        <w:tc>
          <w:tcPr>
            <w:tcW w:w="10861" w:type="dxa"/>
            <w:gridSpan w:val="29"/>
            <w:shd w:val="clear" w:color="auto" w:fill="FFFFFF"/>
          </w:tcPr>
          <w:p w14:paraId="6C4E74C2" w14:textId="77777777" w:rsidR="00051DA2" w:rsidRPr="00123BE1" w:rsidRDefault="00051DA2" w:rsidP="008B422C">
            <w:pPr>
              <w:pStyle w:val="Akapitzlist"/>
              <w:suppressAutoHyphens/>
              <w:ind w:left="0"/>
              <w:jc w:val="both"/>
              <w:rPr>
                <w:lang w:eastAsia="ar-SA"/>
              </w:rPr>
            </w:pPr>
            <w:r w:rsidRPr="00123BE1">
              <w:rPr>
                <w:lang w:eastAsia="ar-SA"/>
              </w:rPr>
              <w:t>Projekt rozporządzenia zosta</w:t>
            </w:r>
            <w:r w:rsidR="00D84E1E">
              <w:rPr>
                <w:lang w:eastAsia="ar-SA"/>
              </w:rPr>
              <w:t xml:space="preserve">nie </w:t>
            </w:r>
            <w:r w:rsidRPr="00123BE1">
              <w:rPr>
                <w:lang w:eastAsia="ar-SA"/>
              </w:rPr>
              <w:t xml:space="preserve">przekazany do zaopiniowania przez związki zawodowe w trybie przewidzianym w ustawie z dnia 23 maja 1991 r. o związkach zawodowych </w:t>
            </w:r>
            <w:r w:rsidR="00DB3861" w:rsidRPr="00123BE1">
              <w:rPr>
                <w:lang w:eastAsia="ar-SA"/>
              </w:rPr>
              <w:t>(Dz. U. z 2015 r. poz. 1881)</w:t>
            </w:r>
            <w:r w:rsidR="0063022F">
              <w:rPr>
                <w:lang w:eastAsia="ar-SA"/>
              </w:rPr>
              <w:t xml:space="preserve"> i </w:t>
            </w:r>
            <w:r w:rsidRPr="00123BE1">
              <w:rPr>
                <w:lang w:eastAsia="ar-SA"/>
              </w:rPr>
              <w:t xml:space="preserve">partnerów społecznych, tj. przez: </w:t>
            </w:r>
          </w:p>
          <w:p w14:paraId="18E228BF" w14:textId="77777777" w:rsidR="00F47744" w:rsidRDefault="00F47744" w:rsidP="00F47744">
            <w:pPr>
              <w:pStyle w:val="Akapitzlist"/>
              <w:suppressAutoHyphens/>
              <w:ind w:left="0"/>
              <w:jc w:val="both"/>
              <w:rPr>
                <w:sz w:val="21"/>
                <w:szCs w:val="21"/>
                <w:lang w:eastAsia="ar-SA"/>
              </w:rPr>
            </w:pPr>
          </w:p>
          <w:p w14:paraId="3741E966" w14:textId="77777777" w:rsidR="00F47744" w:rsidRDefault="00F47744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Chrześcijański Związek Zawodowy „Solidarność im. ks. J. Popiełuszki”;</w:t>
            </w:r>
          </w:p>
          <w:p w14:paraId="76A3C8DD" w14:textId="77777777" w:rsidR="00F47744" w:rsidRDefault="00F47744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Federację Związków Zawodowych Pracowników Kultury i Sztuki;</w:t>
            </w:r>
          </w:p>
          <w:p w14:paraId="045DCC30" w14:textId="77777777" w:rsidR="00F47744" w:rsidRPr="00146821" w:rsidRDefault="00F47744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Forum Związków Zawodowych;</w:t>
            </w:r>
          </w:p>
          <w:p w14:paraId="1D6EF155" w14:textId="77777777" w:rsidR="00DC3F78" w:rsidRPr="00146821" w:rsidRDefault="00DC3F78" w:rsidP="00DC3F78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Komisję Krajową Federacji Regionów i Komisji Zakładowych „Solidarność 80”;</w:t>
            </w:r>
          </w:p>
          <w:p w14:paraId="442CFD94" w14:textId="77777777" w:rsidR="00DC3F78" w:rsidRPr="00146821" w:rsidRDefault="00DC3F78" w:rsidP="00DC3F78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Komisję Krajową NSZZ „Solidarność 80”;</w:t>
            </w:r>
          </w:p>
          <w:p w14:paraId="0D08FD59" w14:textId="77777777" w:rsidR="00DC3F78" w:rsidRPr="00146821" w:rsidRDefault="00DC3F78" w:rsidP="00DC3F78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Konfederację Związków Zawodowych Górnictwa w Polsce;</w:t>
            </w:r>
          </w:p>
          <w:p w14:paraId="2CEBE5FF" w14:textId="77777777" w:rsidR="00DC3F78" w:rsidRPr="00146821" w:rsidRDefault="00DC3F78" w:rsidP="00DC3F78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Niezależny Samorząd</w:t>
            </w:r>
            <w:r w:rsidR="006E332C">
              <w:rPr>
                <w:sz w:val="21"/>
                <w:szCs w:val="21"/>
                <w:lang w:eastAsia="ar-SA"/>
              </w:rPr>
              <w:t>ny</w:t>
            </w:r>
            <w:r w:rsidRPr="00146821">
              <w:rPr>
                <w:sz w:val="21"/>
                <w:szCs w:val="21"/>
                <w:lang w:eastAsia="ar-SA"/>
              </w:rPr>
              <w:t xml:space="preserve"> Związek Zawodowy „Solidarność”;</w:t>
            </w:r>
          </w:p>
          <w:p w14:paraId="70E336FC" w14:textId="77777777" w:rsidR="00F47744" w:rsidRPr="00DC3F78" w:rsidRDefault="00DC3F78" w:rsidP="00DC3F78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NSZZ Pracowników Schronisk dla Nieletnich i Zakładów Poprawczych;</w:t>
            </w:r>
          </w:p>
          <w:p w14:paraId="57C14919" w14:textId="77777777" w:rsidR="007E246A" w:rsidRDefault="007E246A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Ogólnopolskie Porozumienie Związków Zawodowych;</w:t>
            </w:r>
          </w:p>
          <w:p w14:paraId="2D1E1F1F" w14:textId="77777777" w:rsidR="00DC3F78" w:rsidRPr="00146821" w:rsidRDefault="00DC3F78" w:rsidP="00DC3F78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Sekcję Krajową Oświaty i Wychowania NSZZ „Solidarność”;</w:t>
            </w:r>
          </w:p>
          <w:p w14:paraId="779CB655" w14:textId="77777777" w:rsidR="00DC3F78" w:rsidRPr="00DC3F78" w:rsidRDefault="00DC3F78" w:rsidP="00DC3F78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Sekcję</w:t>
            </w:r>
            <w:r>
              <w:rPr>
                <w:sz w:val="21"/>
                <w:szCs w:val="21"/>
                <w:lang w:eastAsia="ar-SA"/>
              </w:rPr>
              <w:t xml:space="preserve"> Oświaty KNSZZ „Solidarność 80”</w:t>
            </w:r>
            <w:r w:rsidR="00AB4B47">
              <w:rPr>
                <w:sz w:val="21"/>
                <w:szCs w:val="21"/>
                <w:lang w:eastAsia="ar-SA"/>
              </w:rPr>
              <w:t>;</w:t>
            </w:r>
          </w:p>
          <w:p w14:paraId="520BE56C" w14:textId="77777777" w:rsidR="00DC3F78" w:rsidRPr="00DC3F78" w:rsidRDefault="00DC3F78" w:rsidP="00DC3F78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Wolny Związek Zawodowy „Solidarność – Oświata”;</w:t>
            </w:r>
          </w:p>
          <w:p w14:paraId="2D6D3488" w14:textId="77777777" w:rsidR="007E246A" w:rsidRPr="00146821" w:rsidRDefault="007E246A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Wolny Związek Zawodowy „Sierpień 80” Komisja Krajowa;</w:t>
            </w:r>
          </w:p>
          <w:p w14:paraId="51850625" w14:textId="77777777" w:rsidR="00945087" w:rsidRPr="00945087" w:rsidRDefault="00945087" w:rsidP="00945087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Z</w:t>
            </w:r>
            <w:r>
              <w:rPr>
                <w:sz w:val="21"/>
                <w:szCs w:val="21"/>
                <w:lang w:eastAsia="ar-SA"/>
              </w:rPr>
              <w:t>wiązek Nauczycielstwa Polskiego;</w:t>
            </w:r>
          </w:p>
          <w:p w14:paraId="774990E1" w14:textId="77777777" w:rsidR="007E246A" w:rsidRDefault="007E246A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Związek Zakładów Doskonalenia Zawodowego;</w:t>
            </w:r>
          </w:p>
          <w:p w14:paraId="5C4806F7" w14:textId="77777777" w:rsidR="00DC3F78" w:rsidRPr="00146821" w:rsidRDefault="00DC3F78" w:rsidP="00DC3F78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Związek Zawodowy Nauczycieli Średnich Szkół Leśnych w Polsce;</w:t>
            </w:r>
          </w:p>
          <w:p w14:paraId="52401C0E" w14:textId="77777777" w:rsidR="00DC3F78" w:rsidRPr="00146821" w:rsidRDefault="00DC3F78" w:rsidP="00DC3F78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Związek Zawodowy „Rada Poradnictwa”;</w:t>
            </w:r>
          </w:p>
          <w:p w14:paraId="00811543" w14:textId="77777777" w:rsidR="008B422C" w:rsidRPr="00DB3861" w:rsidRDefault="00DC3F78" w:rsidP="00DB3861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Związek Zawodowy Pracowników Oświaty i Wychowania „Oświata”;</w:t>
            </w:r>
          </w:p>
          <w:p w14:paraId="73196C73" w14:textId="77777777" w:rsidR="008B422C" w:rsidRPr="00146821" w:rsidRDefault="008B422C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Alians Ewangeliczny;</w:t>
            </w:r>
          </w:p>
          <w:p w14:paraId="31627210" w14:textId="77777777" w:rsidR="008B422C" w:rsidRPr="00146821" w:rsidRDefault="008B422C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Business Centre Club;</w:t>
            </w:r>
          </w:p>
          <w:p w14:paraId="28BE9F9D" w14:textId="77777777" w:rsidR="008B422C" w:rsidRPr="00146821" w:rsidRDefault="008B422C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Federację Stowarzyszeń Naukowo-Technicznych;</w:t>
            </w:r>
          </w:p>
          <w:p w14:paraId="33FE0EAC" w14:textId="77777777" w:rsidR="008B422C" w:rsidRDefault="008B422C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Federację Inicjatyw Oświatowych;</w:t>
            </w:r>
          </w:p>
          <w:p w14:paraId="34859EA6" w14:textId="77777777" w:rsidR="008B422C" w:rsidRPr="008B422C" w:rsidRDefault="008B422C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Forum Rodziców przy Ministrze Edukacji Narodowej;</w:t>
            </w:r>
          </w:p>
          <w:p w14:paraId="052408B2" w14:textId="77777777" w:rsidR="008B422C" w:rsidRDefault="008B422C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Fundację Rozwoju Dzieci im. Komeńskiego;</w:t>
            </w:r>
          </w:p>
          <w:p w14:paraId="526E4597" w14:textId="77777777" w:rsidR="00F47744" w:rsidRPr="00F47744" w:rsidRDefault="00F47744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Fundację Rozwoju Systemu Edukacji;</w:t>
            </w:r>
          </w:p>
          <w:p w14:paraId="6B70A325" w14:textId="77777777" w:rsidR="008B422C" w:rsidRPr="008B422C" w:rsidRDefault="008B422C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Fundację Rodzice Szkole;</w:t>
            </w:r>
          </w:p>
          <w:p w14:paraId="5B2FB4DB" w14:textId="77777777" w:rsidR="008B422C" w:rsidRPr="00146821" w:rsidRDefault="008B422C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Fundację Polskie Forum Migracyjne;</w:t>
            </w:r>
          </w:p>
          <w:p w14:paraId="503A1D7C" w14:textId="77777777" w:rsidR="008B422C" w:rsidRDefault="008B422C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Fundację na rzecz Różnorodności Społecznej;</w:t>
            </w:r>
          </w:p>
          <w:p w14:paraId="6089F569" w14:textId="77777777" w:rsidR="008B422C" w:rsidRDefault="008B422C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Fundację Rozwoju Demokracji Lokalnej;</w:t>
            </w:r>
          </w:p>
          <w:p w14:paraId="2798B568" w14:textId="77777777" w:rsidR="00945087" w:rsidRPr="00764852" w:rsidRDefault="00764852" w:rsidP="00764852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Instytut</w:t>
            </w:r>
            <w:r w:rsidR="00F47744" w:rsidRPr="008B422C">
              <w:rPr>
                <w:sz w:val="21"/>
                <w:szCs w:val="21"/>
                <w:lang w:eastAsia="ar-SA"/>
              </w:rPr>
              <w:t xml:space="preserve"> Pamięci Narodowej;</w:t>
            </w:r>
          </w:p>
          <w:p w14:paraId="28741EB7" w14:textId="025102D6" w:rsidR="00F47744" w:rsidRPr="00945087" w:rsidRDefault="00A76640" w:rsidP="00945087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lastRenderedPageBreak/>
              <w:t>Komitet</w:t>
            </w:r>
            <w:r w:rsidR="00945087" w:rsidRPr="008B422C">
              <w:rPr>
                <w:sz w:val="21"/>
                <w:szCs w:val="21"/>
                <w:lang w:eastAsia="ar-SA"/>
              </w:rPr>
              <w:t xml:space="preserve"> Nauk Pedagogicznych PAN</w:t>
            </w:r>
            <w:r w:rsidR="00AB4B47">
              <w:rPr>
                <w:sz w:val="21"/>
                <w:szCs w:val="21"/>
                <w:lang w:eastAsia="ar-SA"/>
              </w:rPr>
              <w:t>;</w:t>
            </w:r>
          </w:p>
          <w:p w14:paraId="09CB1459" w14:textId="77777777" w:rsidR="00F47744" w:rsidRDefault="00F47744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Konferencj</w:t>
            </w:r>
            <w:r w:rsidR="00764852">
              <w:rPr>
                <w:sz w:val="21"/>
                <w:szCs w:val="21"/>
                <w:lang w:eastAsia="ar-SA"/>
              </w:rPr>
              <w:t>ę</w:t>
            </w:r>
            <w:r w:rsidRPr="00146821">
              <w:rPr>
                <w:sz w:val="21"/>
                <w:szCs w:val="21"/>
                <w:lang w:eastAsia="ar-SA"/>
              </w:rPr>
              <w:t xml:space="preserve"> Dyrektorów Bibliotek Pedagogicznych;</w:t>
            </w:r>
          </w:p>
          <w:p w14:paraId="4ED840D8" w14:textId="77777777" w:rsidR="00F47744" w:rsidRPr="00F47744" w:rsidRDefault="00F47744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Konferencj</w:t>
            </w:r>
            <w:r w:rsidR="00764852">
              <w:rPr>
                <w:sz w:val="21"/>
                <w:szCs w:val="21"/>
                <w:lang w:eastAsia="ar-SA"/>
              </w:rPr>
              <w:t>ę</w:t>
            </w:r>
            <w:r w:rsidRPr="008B422C">
              <w:rPr>
                <w:sz w:val="21"/>
                <w:szCs w:val="21"/>
                <w:lang w:eastAsia="ar-SA"/>
              </w:rPr>
              <w:t xml:space="preserve"> Rektorów Akademickich Szkół Polskich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593C863E" w14:textId="77777777" w:rsidR="008B422C" w:rsidRPr="008B422C" w:rsidRDefault="00764852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Konfederację</w:t>
            </w:r>
            <w:r w:rsidR="008B422C" w:rsidRPr="00146821">
              <w:rPr>
                <w:sz w:val="21"/>
                <w:szCs w:val="21"/>
                <w:lang w:eastAsia="ar-SA"/>
              </w:rPr>
              <w:t xml:space="preserve"> Lewiatan;</w:t>
            </w:r>
          </w:p>
          <w:p w14:paraId="01F6E852" w14:textId="77777777" w:rsidR="008B422C" w:rsidRPr="00146821" w:rsidRDefault="008B422C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Konfederacj</w:t>
            </w:r>
            <w:r w:rsidR="00764852">
              <w:rPr>
                <w:sz w:val="21"/>
                <w:szCs w:val="21"/>
                <w:lang w:eastAsia="ar-SA"/>
              </w:rPr>
              <w:t>ę</w:t>
            </w:r>
            <w:r w:rsidRPr="00146821">
              <w:rPr>
                <w:sz w:val="21"/>
                <w:szCs w:val="21"/>
                <w:lang w:eastAsia="ar-SA"/>
              </w:rPr>
              <w:t xml:space="preserve"> Stowarzyszeń Nauczycielskich;</w:t>
            </w:r>
          </w:p>
          <w:p w14:paraId="783B4590" w14:textId="77777777" w:rsidR="00F47744" w:rsidRPr="00146821" w:rsidRDefault="00F47744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Krajowe Forum Oświaty Niepublicznej;</w:t>
            </w:r>
          </w:p>
          <w:p w14:paraId="14E892DD" w14:textId="77777777" w:rsidR="008B422C" w:rsidRPr="00764852" w:rsidRDefault="00F47744" w:rsidP="00764852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Krajowe Porozumienie Rodziców i Rad Rodziców;</w:t>
            </w:r>
          </w:p>
          <w:p w14:paraId="3956E1E8" w14:textId="77777777" w:rsidR="00945087" w:rsidRDefault="00945087" w:rsidP="00945087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Ogólnopolską Federację Organizacji Pozarządowych;</w:t>
            </w:r>
          </w:p>
          <w:p w14:paraId="55254EE8" w14:textId="77777777" w:rsidR="00945087" w:rsidRPr="00F47744" w:rsidRDefault="00945087" w:rsidP="00945087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Ogólnopolskie Stowarzyszenie Dwujęzyczności Bilinguis;</w:t>
            </w:r>
          </w:p>
          <w:p w14:paraId="1350FB04" w14:textId="77777777" w:rsidR="00945087" w:rsidRDefault="00945087" w:rsidP="00945087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Ogólnopolskie Stowarzyszenie Kadry Kierowniczej Oświaty;</w:t>
            </w:r>
          </w:p>
          <w:p w14:paraId="24BA8F0A" w14:textId="77777777" w:rsidR="00F47744" w:rsidRPr="00764852" w:rsidRDefault="00945087" w:rsidP="00764852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Ogólnopolskie Stowarzyszenie Powiatowych i Gminnych Samorządowych Oś</w:t>
            </w:r>
            <w:r w:rsidR="00764852">
              <w:rPr>
                <w:sz w:val="21"/>
                <w:szCs w:val="21"/>
                <w:lang w:eastAsia="ar-SA"/>
              </w:rPr>
              <w:t>rodków Doskonalenia Nauczyciel;</w:t>
            </w:r>
          </w:p>
          <w:p w14:paraId="240E2A28" w14:textId="77777777" w:rsidR="00F061E7" w:rsidRDefault="00F061E7" w:rsidP="00945087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Rad</w:t>
            </w:r>
            <w:r w:rsidR="006E1D5C">
              <w:rPr>
                <w:sz w:val="21"/>
                <w:szCs w:val="21"/>
                <w:lang w:eastAsia="ar-SA"/>
              </w:rPr>
              <w:t>ę</w:t>
            </w:r>
            <w:r>
              <w:rPr>
                <w:sz w:val="21"/>
                <w:szCs w:val="21"/>
                <w:lang w:eastAsia="ar-SA"/>
              </w:rPr>
              <w:t xml:space="preserve"> Dzieci i Młodzieży </w:t>
            </w:r>
            <w:r w:rsidRPr="00146821">
              <w:rPr>
                <w:sz w:val="21"/>
                <w:szCs w:val="21"/>
                <w:lang w:eastAsia="ar-SA"/>
              </w:rPr>
              <w:t>przy Ministrze Edukacji Narodowej;</w:t>
            </w:r>
          </w:p>
          <w:p w14:paraId="4E740ADC" w14:textId="77777777" w:rsidR="00945087" w:rsidRDefault="00945087" w:rsidP="00945087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8B422C">
              <w:rPr>
                <w:sz w:val="21"/>
                <w:szCs w:val="21"/>
                <w:lang w:eastAsia="ar-SA"/>
              </w:rPr>
              <w:t>Rad</w:t>
            </w:r>
            <w:r>
              <w:rPr>
                <w:sz w:val="21"/>
                <w:szCs w:val="21"/>
                <w:lang w:eastAsia="ar-SA"/>
              </w:rPr>
              <w:t>ę</w:t>
            </w:r>
            <w:r w:rsidRPr="008B422C">
              <w:rPr>
                <w:sz w:val="21"/>
                <w:szCs w:val="21"/>
                <w:lang w:eastAsia="ar-SA"/>
              </w:rPr>
              <w:t xml:space="preserve"> Języka Polskiego przy Prezydium Polskiej Akademii Nauk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54D17AF4" w14:textId="77777777" w:rsidR="00F061E7" w:rsidRPr="00F061E7" w:rsidRDefault="00F061E7" w:rsidP="00F061E7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Radę do spraw Szkolnictwa Artystycznego;</w:t>
            </w:r>
          </w:p>
          <w:p w14:paraId="0366C51A" w14:textId="77777777" w:rsidR="00F47744" w:rsidRPr="00764852" w:rsidRDefault="00945087" w:rsidP="00764852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Radę Szkół Katolickich;</w:t>
            </w:r>
          </w:p>
          <w:p w14:paraId="18A41D7C" w14:textId="77777777" w:rsidR="007E246A" w:rsidRDefault="00945087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8B422C">
              <w:rPr>
                <w:sz w:val="21"/>
                <w:szCs w:val="21"/>
                <w:lang w:eastAsia="ar-SA"/>
              </w:rPr>
              <w:t>Polską</w:t>
            </w:r>
            <w:r>
              <w:rPr>
                <w:sz w:val="21"/>
                <w:szCs w:val="21"/>
                <w:lang w:eastAsia="ar-SA"/>
              </w:rPr>
              <w:t xml:space="preserve"> Akademię</w:t>
            </w:r>
            <w:r w:rsidR="00764852">
              <w:rPr>
                <w:sz w:val="21"/>
                <w:szCs w:val="21"/>
                <w:lang w:eastAsia="ar-SA"/>
              </w:rPr>
              <w:t xml:space="preserve"> Umiejętności;</w:t>
            </w:r>
          </w:p>
          <w:p w14:paraId="6B0BE9DF" w14:textId="77777777" w:rsidR="00945087" w:rsidRPr="00945087" w:rsidRDefault="00945087" w:rsidP="00945087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Polsk</w:t>
            </w:r>
            <w:r>
              <w:rPr>
                <w:sz w:val="21"/>
                <w:szCs w:val="21"/>
                <w:lang w:eastAsia="ar-SA"/>
              </w:rPr>
              <w:t>ą</w:t>
            </w:r>
            <w:r w:rsidRPr="00146821">
              <w:rPr>
                <w:sz w:val="21"/>
                <w:szCs w:val="21"/>
                <w:lang w:eastAsia="ar-SA"/>
              </w:rPr>
              <w:t xml:space="preserve"> Izb</w:t>
            </w:r>
            <w:r>
              <w:rPr>
                <w:sz w:val="21"/>
                <w:szCs w:val="21"/>
                <w:lang w:eastAsia="ar-SA"/>
              </w:rPr>
              <w:t>ę</w:t>
            </w:r>
            <w:r w:rsidRPr="00146821">
              <w:rPr>
                <w:sz w:val="21"/>
                <w:szCs w:val="21"/>
                <w:lang w:eastAsia="ar-SA"/>
              </w:rPr>
              <w:t xml:space="preserve"> Książki;</w:t>
            </w:r>
          </w:p>
          <w:p w14:paraId="43180952" w14:textId="77777777" w:rsidR="00945087" w:rsidRDefault="00945087" w:rsidP="00945087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Polską Radę Ekumeniczną;</w:t>
            </w:r>
          </w:p>
          <w:p w14:paraId="0C2A6BA1" w14:textId="77777777" w:rsidR="00F47744" w:rsidRPr="00F47744" w:rsidRDefault="00945087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Polskie Stowarzyszenie</w:t>
            </w:r>
            <w:r w:rsidR="00F47744" w:rsidRPr="00146821">
              <w:rPr>
                <w:sz w:val="21"/>
                <w:szCs w:val="21"/>
                <w:lang w:eastAsia="ar-SA"/>
              </w:rPr>
              <w:t xml:space="preserve"> na Rzecz Osób z Upośledzeniem Umysłowym;</w:t>
            </w:r>
          </w:p>
          <w:p w14:paraId="526FB4FC" w14:textId="77777777" w:rsidR="00F47744" w:rsidRPr="00F47744" w:rsidRDefault="00945087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Polski Stowarzyszenie</w:t>
            </w:r>
            <w:r w:rsidR="00F47744" w:rsidRPr="008B422C">
              <w:rPr>
                <w:sz w:val="21"/>
                <w:szCs w:val="21"/>
                <w:lang w:eastAsia="ar-SA"/>
              </w:rPr>
              <w:t xml:space="preserve"> Nauczycieli Przedmiotów Przyrodniczych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227F1BEA" w14:textId="77777777" w:rsidR="00536D19" w:rsidRPr="008B422C" w:rsidRDefault="00945087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 xml:space="preserve">Polskie Towarzystwo </w:t>
            </w:r>
            <w:r w:rsidR="00536D19" w:rsidRPr="008B422C">
              <w:rPr>
                <w:sz w:val="21"/>
                <w:szCs w:val="21"/>
                <w:lang w:eastAsia="ar-SA"/>
              </w:rPr>
              <w:t>Botanicz</w:t>
            </w:r>
            <w:r>
              <w:rPr>
                <w:sz w:val="21"/>
                <w:szCs w:val="21"/>
                <w:lang w:eastAsia="ar-SA"/>
              </w:rPr>
              <w:t>ne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015E96DC" w14:textId="77777777" w:rsidR="00536D19" w:rsidRPr="008B422C" w:rsidRDefault="00945087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Polskie Towarzystwo Chemiczne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24CE27E7" w14:textId="77777777" w:rsidR="00536D19" w:rsidRPr="008B422C" w:rsidRDefault="00945087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Polskie Towarzystwo Fizyczne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13DD8251" w14:textId="77777777" w:rsidR="00536D19" w:rsidRPr="008B422C" w:rsidRDefault="00945087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Polskie Towarzystwo Geograficzne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33DD21A6" w14:textId="77777777" w:rsidR="00536D19" w:rsidRPr="008B422C" w:rsidRDefault="00945087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Polskie Towarzystwo Historyczne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4560B2AF" w14:textId="77777777" w:rsidR="00536D19" w:rsidRDefault="00945087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Polskie Towarzystwo Informatyczne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29B3CFCF" w14:textId="77777777" w:rsidR="00F47744" w:rsidRPr="00F47744" w:rsidRDefault="00945087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Polskie Towarzystwo Matematyczne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72380D77" w14:textId="77777777" w:rsidR="00536D19" w:rsidRDefault="00945087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Polskie Towarzystwo</w:t>
            </w:r>
            <w:r w:rsidR="00536D19" w:rsidRPr="008B422C">
              <w:rPr>
                <w:sz w:val="21"/>
                <w:szCs w:val="21"/>
                <w:lang w:eastAsia="ar-SA"/>
              </w:rPr>
              <w:t xml:space="preserve"> Przyrodników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6B698331" w14:textId="77777777" w:rsidR="00F47744" w:rsidRPr="00764852" w:rsidRDefault="00945087" w:rsidP="00764852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Pracod</w:t>
            </w:r>
            <w:r w:rsidR="00764852">
              <w:rPr>
                <w:sz w:val="21"/>
                <w:szCs w:val="21"/>
                <w:lang w:eastAsia="ar-SA"/>
              </w:rPr>
              <w:t>awców Rzeczypospolitej Polskiej;</w:t>
            </w:r>
          </w:p>
          <w:p w14:paraId="49DADD78" w14:textId="77777777" w:rsidR="00945087" w:rsidRPr="00945087" w:rsidRDefault="00945087" w:rsidP="00945087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Sekretariat Konferencji Episkopatu Polski;</w:t>
            </w:r>
          </w:p>
          <w:p w14:paraId="6C6F295F" w14:textId="77777777" w:rsidR="00F47744" w:rsidRDefault="00F47744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Społeczne Towarzystwo Oświatowe;</w:t>
            </w:r>
          </w:p>
          <w:p w14:paraId="7F93071C" w14:textId="78E687C2" w:rsidR="00764852" w:rsidRPr="00764852" w:rsidRDefault="0041321E" w:rsidP="00764852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hyperlink r:id="rId8" w:tgtFrame="_BLANKicЕonv" w:history="1">
              <w:r w:rsidR="00764852">
                <w:rPr>
                  <w:sz w:val="21"/>
                  <w:szCs w:val="21"/>
                  <w:lang w:eastAsia="ar-SA"/>
                </w:rPr>
                <w:t>Stowarzyszenie</w:t>
              </w:r>
              <w:r w:rsidR="00764852" w:rsidRPr="008B422C">
                <w:rPr>
                  <w:sz w:val="21"/>
                  <w:szCs w:val="21"/>
                  <w:lang w:eastAsia="ar-SA"/>
                </w:rPr>
                <w:t xml:space="preserve"> Akademickich Ośrodków Nauczania Języków Obcych LINGAL</w:t>
              </w:r>
            </w:hyperlink>
            <w:r w:rsidR="00AB4B47">
              <w:rPr>
                <w:sz w:val="21"/>
                <w:szCs w:val="21"/>
                <w:lang w:eastAsia="ar-SA"/>
              </w:rPr>
              <w:t>;</w:t>
            </w:r>
          </w:p>
          <w:p w14:paraId="4684C910" w14:textId="77777777" w:rsidR="00945087" w:rsidRPr="00764852" w:rsidRDefault="00945087" w:rsidP="00764852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Stowarzyszenie Bibliotekarzy Polskich;</w:t>
            </w:r>
          </w:p>
          <w:p w14:paraId="6F224972" w14:textId="77777777" w:rsidR="00F47744" w:rsidRDefault="00F47744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Stowarzyszenie Dyrektorów Szkół Średnich;</w:t>
            </w:r>
          </w:p>
          <w:p w14:paraId="11688411" w14:textId="77777777" w:rsidR="00764852" w:rsidRDefault="00764852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S</w:t>
            </w:r>
            <w:r w:rsidRPr="008B422C">
              <w:rPr>
                <w:sz w:val="21"/>
                <w:szCs w:val="21"/>
                <w:lang w:eastAsia="ar-SA"/>
              </w:rPr>
              <w:t>towarzyszeni</w:t>
            </w:r>
            <w:r w:rsidR="00A76640">
              <w:rPr>
                <w:sz w:val="21"/>
                <w:szCs w:val="21"/>
                <w:lang w:eastAsia="ar-SA"/>
              </w:rPr>
              <w:t>e</w:t>
            </w:r>
            <w:r w:rsidRPr="008B422C">
              <w:rPr>
                <w:sz w:val="21"/>
                <w:szCs w:val="21"/>
                <w:lang w:eastAsia="ar-SA"/>
              </w:rPr>
              <w:t xml:space="preserve"> Dyrektorów i Nauczycieli Centrów Kształcenia Praktycznego</w:t>
            </w:r>
            <w:r>
              <w:rPr>
                <w:sz w:val="21"/>
                <w:szCs w:val="21"/>
                <w:lang w:eastAsia="ar-SA"/>
              </w:rPr>
              <w:t>;</w:t>
            </w:r>
          </w:p>
          <w:p w14:paraId="719F3825" w14:textId="77777777" w:rsidR="00764852" w:rsidRPr="00764852" w:rsidRDefault="0041321E" w:rsidP="00764852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hyperlink r:id="rId9" w:tgtFrame="_BLANKicЕonv" w:history="1">
              <w:r w:rsidR="00764852" w:rsidRPr="008B422C">
                <w:rPr>
                  <w:sz w:val="21"/>
                  <w:szCs w:val="21"/>
                  <w:lang w:eastAsia="ar-SA"/>
                </w:rPr>
                <w:t>Stowarzyszeni</w:t>
              </w:r>
              <w:r w:rsidR="00A76640">
                <w:rPr>
                  <w:sz w:val="21"/>
                  <w:szCs w:val="21"/>
                  <w:lang w:eastAsia="ar-SA"/>
                </w:rPr>
                <w:t>e</w:t>
              </w:r>
              <w:r w:rsidR="00764852" w:rsidRPr="008B422C">
                <w:rPr>
                  <w:sz w:val="21"/>
                  <w:szCs w:val="21"/>
                  <w:lang w:eastAsia="ar-SA"/>
                </w:rPr>
                <w:t xml:space="preserve"> Doradców Szkolnych i Zawodowych Rzeczpospolitej Polskiej</w:t>
              </w:r>
            </w:hyperlink>
            <w:r w:rsidR="006E1D5C">
              <w:rPr>
                <w:sz w:val="21"/>
                <w:szCs w:val="21"/>
                <w:lang w:eastAsia="ar-SA"/>
              </w:rPr>
              <w:t>;</w:t>
            </w:r>
          </w:p>
          <w:p w14:paraId="0439D796" w14:textId="77777777" w:rsidR="005767DA" w:rsidRDefault="0041321E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hyperlink r:id="rId10" w:tgtFrame="_BLANKicЕonv" w:history="1">
              <w:r w:rsidR="005767DA" w:rsidRPr="008B422C">
                <w:rPr>
                  <w:sz w:val="21"/>
                  <w:szCs w:val="21"/>
                  <w:lang w:eastAsia="ar-SA"/>
                </w:rPr>
                <w:t>Stowarzyszeni</w:t>
              </w:r>
              <w:r w:rsidR="00A76640">
                <w:rPr>
                  <w:sz w:val="21"/>
                  <w:szCs w:val="21"/>
                  <w:lang w:eastAsia="ar-SA"/>
                </w:rPr>
                <w:t>e</w:t>
              </w:r>
              <w:r w:rsidR="005767DA" w:rsidRPr="008B422C">
                <w:rPr>
                  <w:sz w:val="21"/>
                  <w:szCs w:val="21"/>
                  <w:lang w:eastAsia="ar-SA"/>
                </w:rPr>
                <w:t xml:space="preserve"> Nauczycieli Edukacji Początkowej</w:t>
              </w:r>
            </w:hyperlink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3A103796" w14:textId="77777777" w:rsidR="00764852" w:rsidRPr="00764852" w:rsidRDefault="00764852" w:rsidP="00764852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8B422C">
              <w:rPr>
                <w:sz w:val="21"/>
                <w:szCs w:val="21"/>
                <w:lang w:eastAsia="ar-SA"/>
              </w:rPr>
              <w:t>St</w:t>
            </w:r>
            <w:r>
              <w:rPr>
                <w:sz w:val="21"/>
                <w:szCs w:val="21"/>
                <w:lang w:eastAsia="ar-SA"/>
              </w:rPr>
              <w:t>owarzyszeni</w:t>
            </w:r>
            <w:r w:rsidR="00A76640">
              <w:rPr>
                <w:sz w:val="21"/>
                <w:szCs w:val="21"/>
                <w:lang w:eastAsia="ar-SA"/>
              </w:rPr>
              <w:t>e</w:t>
            </w:r>
            <w:r>
              <w:rPr>
                <w:sz w:val="21"/>
                <w:szCs w:val="21"/>
                <w:lang w:eastAsia="ar-SA"/>
              </w:rPr>
              <w:t xml:space="preserve"> Nauczycieli Fizyki;</w:t>
            </w:r>
          </w:p>
          <w:p w14:paraId="1B3141C6" w14:textId="77777777" w:rsidR="005767DA" w:rsidRPr="008B422C" w:rsidRDefault="005767DA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8B422C">
              <w:rPr>
                <w:sz w:val="21"/>
                <w:szCs w:val="21"/>
                <w:lang w:eastAsia="ar-SA"/>
              </w:rPr>
              <w:t>Stowarzyszeni</w:t>
            </w:r>
            <w:r w:rsidR="00A76640">
              <w:rPr>
                <w:sz w:val="21"/>
                <w:szCs w:val="21"/>
                <w:lang w:eastAsia="ar-SA"/>
              </w:rPr>
              <w:t>e</w:t>
            </w:r>
            <w:r w:rsidRPr="008B422C">
              <w:rPr>
                <w:sz w:val="21"/>
                <w:szCs w:val="21"/>
                <w:lang w:eastAsia="ar-SA"/>
              </w:rPr>
              <w:t xml:space="preserve"> Nauczycieli Historii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4BB4F8F5" w14:textId="77777777" w:rsidR="00536D19" w:rsidRPr="008B422C" w:rsidRDefault="00536D19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8B422C">
              <w:rPr>
                <w:sz w:val="21"/>
                <w:szCs w:val="21"/>
                <w:lang w:eastAsia="ar-SA"/>
              </w:rPr>
              <w:t>Stowarzyszeni</w:t>
            </w:r>
            <w:r w:rsidR="00A76640">
              <w:rPr>
                <w:sz w:val="21"/>
                <w:szCs w:val="21"/>
                <w:lang w:eastAsia="ar-SA"/>
              </w:rPr>
              <w:t>e</w:t>
            </w:r>
            <w:r w:rsidRPr="008B422C">
              <w:rPr>
                <w:sz w:val="21"/>
                <w:szCs w:val="21"/>
                <w:lang w:eastAsia="ar-SA"/>
              </w:rPr>
              <w:t xml:space="preserve"> Nauczycieli Humanistów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78BFB966" w14:textId="77777777" w:rsidR="007E246A" w:rsidRPr="008B422C" w:rsidRDefault="007E246A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8B422C">
              <w:rPr>
                <w:sz w:val="21"/>
                <w:szCs w:val="21"/>
                <w:lang w:eastAsia="ar-SA"/>
              </w:rPr>
              <w:t>Stowarzyszeni</w:t>
            </w:r>
            <w:r w:rsidR="00A76640">
              <w:rPr>
                <w:sz w:val="21"/>
                <w:szCs w:val="21"/>
                <w:lang w:eastAsia="ar-SA"/>
              </w:rPr>
              <w:t>e</w:t>
            </w:r>
            <w:r w:rsidRPr="008B422C">
              <w:rPr>
                <w:sz w:val="21"/>
                <w:szCs w:val="21"/>
                <w:lang w:eastAsia="ar-SA"/>
              </w:rPr>
              <w:t xml:space="preserve"> Nauczycieli Matematyki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6E387B8F" w14:textId="77777777" w:rsidR="007E246A" w:rsidRDefault="007E246A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8B422C">
              <w:rPr>
                <w:sz w:val="21"/>
                <w:szCs w:val="21"/>
                <w:lang w:eastAsia="ar-SA"/>
              </w:rPr>
              <w:t>Stowarzyszeni</w:t>
            </w:r>
            <w:r w:rsidR="00A76640">
              <w:rPr>
                <w:sz w:val="21"/>
                <w:szCs w:val="21"/>
                <w:lang w:eastAsia="ar-SA"/>
              </w:rPr>
              <w:t>e</w:t>
            </w:r>
            <w:r w:rsidRPr="008B422C">
              <w:rPr>
                <w:sz w:val="21"/>
                <w:szCs w:val="21"/>
                <w:lang w:eastAsia="ar-SA"/>
              </w:rPr>
              <w:t xml:space="preserve"> Nauczycieli Twórczych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07E90062" w14:textId="77777777" w:rsidR="00764852" w:rsidRPr="00764852" w:rsidRDefault="00764852" w:rsidP="00764852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8B422C">
              <w:rPr>
                <w:sz w:val="21"/>
                <w:szCs w:val="21"/>
                <w:lang w:eastAsia="ar-SA"/>
              </w:rPr>
              <w:t>Stowarzyszeni</w:t>
            </w:r>
            <w:r w:rsidR="00A76640">
              <w:rPr>
                <w:sz w:val="21"/>
                <w:szCs w:val="21"/>
                <w:lang w:eastAsia="ar-SA"/>
              </w:rPr>
              <w:t>e</w:t>
            </w:r>
            <w:r w:rsidRPr="008B422C">
              <w:rPr>
                <w:sz w:val="21"/>
                <w:szCs w:val="21"/>
                <w:lang w:eastAsia="ar-SA"/>
              </w:rPr>
              <w:t xml:space="preserve"> Nauczycieli Polonistów</w:t>
            </w:r>
            <w:r>
              <w:rPr>
                <w:sz w:val="21"/>
                <w:szCs w:val="21"/>
                <w:lang w:eastAsia="ar-SA"/>
              </w:rPr>
              <w:t>;</w:t>
            </w:r>
          </w:p>
          <w:p w14:paraId="10C06494" w14:textId="77777777" w:rsidR="007E246A" w:rsidRPr="008B422C" w:rsidRDefault="007E246A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8B422C">
              <w:rPr>
                <w:sz w:val="21"/>
                <w:szCs w:val="21"/>
                <w:lang w:eastAsia="ar-SA"/>
              </w:rPr>
              <w:t>Stowarzyszeni</w:t>
            </w:r>
            <w:r w:rsidR="00A76640">
              <w:rPr>
                <w:sz w:val="21"/>
                <w:szCs w:val="21"/>
                <w:lang w:eastAsia="ar-SA"/>
              </w:rPr>
              <w:t>e</w:t>
            </w:r>
            <w:r w:rsidRPr="008B422C">
              <w:rPr>
                <w:sz w:val="21"/>
                <w:szCs w:val="21"/>
                <w:lang w:eastAsia="ar-SA"/>
              </w:rPr>
              <w:t xml:space="preserve"> Nauczycieli Przedmiotów Przyrodniczych i Technicznych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3FDF455A" w14:textId="77777777" w:rsidR="00FD27AD" w:rsidRPr="008B422C" w:rsidRDefault="0041321E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hyperlink r:id="rId11" w:tgtFrame="_BLANKicЕonv" w:history="1">
              <w:r w:rsidR="00FD27AD" w:rsidRPr="008B422C">
                <w:rPr>
                  <w:sz w:val="21"/>
                  <w:szCs w:val="21"/>
                  <w:lang w:eastAsia="ar-SA"/>
                </w:rPr>
                <w:t>Stowarzyszeni</w:t>
              </w:r>
              <w:r w:rsidR="00A76640">
                <w:rPr>
                  <w:sz w:val="21"/>
                  <w:szCs w:val="21"/>
                  <w:lang w:eastAsia="ar-SA"/>
                </w:rPr>
                <w:t>e</w:t>
              </w:r>
              <w:r w:rsidR="00FD27AD" w:rsidRPr="008B422C">
                <w:rPr>
                  <w:sz w:val="21"/>
                  <w:szCs w:val="21"/>
                  <w:lang w:eastAsia="ar-SA"/>
                </w:rPr>
                <w:t xml:space="preserve"> Nauczycieli Technologii Informacyjnej</w:t>
              </w:r>
            </w:hyperlink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73746163" w14:textId="77777777" w:rsidR="00FD27AD" w:rsidRPr="008B422C" w:rsidRDefault="0041321E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hyperlink r:id="rId12" w:tgtFrame="_BLANKicЕonv" w:history="1">
              <w:r w:rsidR="00FD27AD" w:rsidRPr="008B422C">
                <w:rPr>
                  <w:sz w:val="21"/>
                  <w:szCs w:val="21"/>
                  <w:lang w:eastAsia="ar-SA"/>
                </w:rPr>
                <w:t>Stowarzyszeni</w:t>
              </w:r>
              <w:r w:rsidR="00A76640">
                <w:rPr>
                  <w:sz w:val="21"/>
                  <w:szCs w:val="21"/>
                  <w:lang w:eastAsia="ar-SA"/>
                </w:rPr>
                <w:t>e</w:t>
              </w:r>
              <w:r w:rsidR="00FD27AD" w:rsidRPr="008B422C">
                <w:rPr>
                  <w:sz w:val="21"/>
                  <w:szCs w:val="21"/>
                  <w:lang w:eastAsia="ar-SA"/>
                </w:rPr>
                <w:t xml:space="preserve"> Nauczycieli Przedsiębiorczości i Edukacji Ekonomicznej</w:t>
              </w:r>
            </w:hyperlink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52C90F0C" w14:textId="77777777" w:rsidR="007E246A" w:rsidRPr="008B422C" w:rsidRDefault="0041321E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hyperlink r:id="rId13" w:tgtFrame="_BLANKicЕonv" w:history="1">
              <w:r w:rsidR="007E246A" w:rsidRPr="008B422C">
                <w:rPr>
                  <w:sz w:val="21"/>
                  <w:szCs w:val="21"/>
                  <w:lang w:eastAsia="ar-SA"/>
                </w:rPr>
                <w:t>Stowarzyszeni</w:t>
              </w:r>
              <w:r w:rsidR="00A76640">
                <w:rPr>
                  <w:sz w:val="21"/>
                  <w:szCs w:val="21"/>
                  <w:lang w:eastAsia="ar-SA"/>
                </w:rPr>
                <w:t>e</w:t>
              </w:r>
              <w:r w:rsidR="007E246A" w:rsidRPr="008B422C">
                <w:rPr>
                  <w:sz w:val="21"/>
                  <w:szCs w:val="21"/>
                  <w:lang w:eastAsia="ar-SA"/>
                </w:rPr>
                <w:t xml:space="preserve"> Nauczycieli Języka Angielskiego w Polsce IATEFL PL</w:t>
              </w:r>
            </w:hyperlink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06531169" w14:textId="77777777" w:rsidR="007E246A" w:rsidRPr="008B422C" w:rsidRDefault="007E246A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8B422C">
              <w:rPr>
                <w:sz w:val="21"/>
                <w:szCs w:val="21"/>
                <w:lang w:eastAsia="ar-SA"/>
              </w:rPr>
              <w:t>Stowarzyszeni</w:t>
            </w:r>
            <w:r w:rsidR="00A76640">
              <w:rPr>
                <w:sz w:val="21"/>
                <w:szCs w:val="21"/>
                <w:lang w:eastAsia="ar-SA"/>
              </w:rPr>
              <w:t>e</w:t>
            </w:r>
            <w:r w:rsidRPr="008B422C">
              <w:rPr>
                <w:sz w:val="21"/>
                <w:szCs w:val="21"/>
                <w:lang w:eastAsia="ar-SA"/>
              </w:rPr>
              <w:t xml:space="preserve"> Nauczycieli Języka Angielskiego </w:t>
            </w:r>
            <w:r w:rsidR="00ED0398">
              <w:rPr>
                <w:sz w:val="21"/>
                <w:szCs w:val="21"/>
                <w:lang w:eastAsia="ar-SA"/>
              </w:rPr>
              <w:t>„</w:t>
            </w:r>
            <w:r w:rsidRPr="008B422C">
              <w:rPr>
                <w:sz w:val="21"/>
                <w:szCs w:val="21"/>
                <w:lang w:eastAsia="ar-SA"/>
              </w:rPr>
              <w:t>Prime</w:t>
            </w:r>
            <w:r w:rsidR="00ED0398">
              <w:rPr>
                <w:sz w:val="21"/>
                <w:szCs w:val="21"/>
                <w:lang w:eastAsia="ar-SA"/>
              </w:rPr>
              <w:t>”</w:t>
            </w:r>
            <w:r w:rsidRPr="008B422C">
              <w:rPr>
                <w:sz w:val="21"/>
                <w:szCs w:val="21"/>
                <w:lang w:eastAsia="ar-SA"/>
              </w:rPr>
              <w:t xml:space="preserve"> w Polsce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3BCF98A6" w14:textId="77777777" w:rsidR="007E246A" w:rsidRPr="008B422C" w:rsidRDefault="007E246A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8B422C">
              <w:rPr>
                <w:sz w:val="21"/>
                <w:szCs w:val="21"/>
                <w:lang w:eastAsia="ar-SA"/>
              </w:rPr>
              <w:t>Stowarzyszeni</w:t>
            </w:r>
            <w:r w:rsidR="00A76640">
              <w:rPr>
                <w:sz w:val="21"/>
                <w:szCs w:val="21"/>
                <w:lang w:eastAsia="ar-SA"/>
              </w:rPr>
              <w:t>e</w:t>
            </w:r>
            <w:r w:rsidRPr="008B422C">
              <w:rPr>
                <w:sz w:val="21"/>
                <w:szCs w:val="21"/>
                <w:lang w:eastAsia="ar-SA"/>
              </w:rPr>
              <w:t xml:space="preserve"> Nauczycieli Języka Niemieckiego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261FF84A" w14:textId="77777777" w:rsidR="005767DA" w:rsidRPr="008B422C" w:rsidRDefault="0041321E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hyperlink r:id="rId14" w:tgtFrame="_BLANKicЕonv" w:history="1">
              <w:r w:rsidR="005767DA" w:rsidRPr="008B422C">
                <w:rPr>
                  <w:sz w:val="21"/>
                  <w:szCs w:val="21"/>
                  <w:lang w:eastAsia="ar-SA"/>
                </w:rPr>
                <w:t>Stowarzyszeni</w:t>
              </w:r>
              <w:r w:rsidR="00A76640">
                <w:rPr>
                  <w:sz w:val="21"/>
                  <w:szCs w:val="21"/>
                  <w:lang w:eastAsia="ar-SA"/>
                </w:rPr>
                <w:t>e</w:t>
              </w:r>
              <w:r w:rsidR="005767DA" w:rsidRPr="008B422C">
                <w:rPr>
                  <w:sz w:val="21"/>
                  <w:szCs w:val="21"/>
                  <w:lang w:eastAsia="ar-SA"/>
                </w:rPr>
                <w:t xml:space="preserve"> Nauczycieli Języka Francuskiego w Polsce</w:t>
              </w:r>
            </w:hyperlink>
            <w:r w:rsidR="005767DA" w:rsidRPr="008B422C">
              <w:rPr>
                <w:sz w:val="21"/>
                <w:szCs w:val="21"/>
                <w:lang w:eastAsia="ar-SA"/>
              </w:rPr>
              <w:t xml:space="preserve"> PROF-EUROPE</w:t>
            </w:r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3384FC82" w14:textId="77777777" w:rsidR="007E246A" w:rsidRPr="00764852" w:rsidRDefault="00764852" w:rsidP="00764852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Stowarzyszenie Oświatowców Polskich;</w:t>
            </w:r>
          </w:p>
          <w:p w14:paraId="0FD7E7F6" w14:textId="77777777" w:rsidR="00F47744" w:rsidRPr="00764852" w:rsidRDefault="0041321E" w:rsidP="00764852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hyperlink r:id="rId15" w:tgtFrame="_BLANKicЕonv" w:history="1">
              <w:r w:rsidR="00536D19" w:rsidRPr="008B422C">
                <w:rPr>
                  <w:sz w:val="21"/>
                  <w:szCs w:val="21"/>
                  <w:lang w:eastAsia="ar-SA"/>
                </w:rPr>
                <w:t>Towarzystw</w:t>
              </w:r>
              <w:r w:rsidR="00764852">
                <w:rPr>
                  <w:sz w:val="21"/>
                  <w:szCs w:val="21"/>
                  <w:lang w:eastAsia="ar-SA"/>
                </w:rPr>
                <w:t>o</w:t>
              </w:r>
              <w:r w:rsidR="00536D19" w:rsidRPr="008B422C">
                <w:rPr>
                  <w:sz w:val="21"/>
                  <w:szCs w:val="21"/>
                  <w:lang w:eastAsia="ar-SA"/>
                </w:rPr>
                <w:t xml:space="preserve"> Nauczycieli Bibliotekarzy Szkół Polskich</w:t>
              </w:r>
            </w:hyperlink>
            <w:r w:rsidR="00764852">
              <w:rPr>
                <w:sz w:val="21"/>
                <w:szCs w:val="21"/>
                <w:lang w:eastAsia="ar-SA"/>
              </w:rPr>
              <w:t>;</w:t>
            </w:r>
          </w:p>
          <w:p w14:paraId="68EA8EF3" w14:textId="77777777" w:rsidR="00945087" w:rsidRPr="00146821" w:rsidRDefault="00945087" w:rsidP="00945087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Unię Metropolii Polskich;</w:t>
            </w:r>
          </w:p>
          <w:p w14:paraId="097ADE2B" w14:textId="77777777" w:rsidR="00F47744" w:rsidRDefault="00945087" w:rsidP="00945087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Unię Miasteczek Polskich;</w:t>
            </w:r>
          </w:p>
          <w:p w14:paraId="49A9BB96" w14:textId="77777777" w:rsidR="00F47744" w:rsidRPr="00764852" w:rsidRDefault="00764852" w:rsidP="00764852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Towarzystwo Wiedzy Powszechnej – Zarząd Główny;</w:t>
            </w:r>
          </w:p>
          <w:p w14:paraId="0F8E4A87" w14:textId="77777777" w:rsidR="00003797" w:rsidRDefault="00764852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Zarząd</w:t>
            </w:r>
            <w:r w:rsidR="00FD27AD" w:rsidRPr="008B422C">
              <w:rPr>
                <w:sz w:val="21"/>
                <w:szCs w:val="21"/>
                <w:lang w:eastAsia="ar-SA"/>
              </w:rPr>
              <w:t xml:space="preserve"> Krajow</w:t>
            </w:r>
            <w:r>
              <w:rPr>
                <w:sz w:val="21"/>
                <w:szCs w:val="21"/>
                <w:lang w:eastAsia="ar-SA"/>
              </w:rPr>
              <w:t xml:space="preserve">y </w:t>
            </w:r>
            <w:r w:rsidR="00FD27AD" w:rsidRPr="008B422C">
              <w:rPr>
                <w:sz w:val="21"/>
                <w:szCs w:val="21"/>
                <w:lang w:eastAsia="ar-SA"/>
              </w:rPr>
              <w:t>Polskiego</w:t>
            </w:r>
            <w:r w:rsidR="008B422C" w:rsidRPr="008B422C">
              <w:rPr>
                <w:sz w:val="21"/>
                <w:szCs w:val="21"/>
                <w:lang w:eastAsia="ar-SA"/>
              </w:rPr>
              <w:t xml:space="preserve"> </w:t>
            </w:r>
            <w:r w:rsidR="00F47744">
              <w:rPr>
                <w:sz w:val="21"/>
                <w:szCs w:val="21"/>
                <w:lang w:eastAsia="ar-SA"/>
              </w:rPr>
              <w:t>Towarzystwa Ekonomicznego</w:t>
            </w:r>
            <w:r>
              <w:rPr>
                <w:sz w:val="21"/>
                <w:szCs w:val="21"/>
                <w:lang w:eastAsia="ar-SA"/>
              </w:rPr>
              <w:t>;</w:t>
            </w:r>
          </w:p>
          <w:p w14:paraId="60CDD922" w14:textId="77777777" w:rsidR="00F47744" w:rsidRPr="00146821" w:rsidRDefault="00F47744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Związek Gmin Wiejskich RP;</w:t>
            </w:r>
          </w:p>
          <w:p w14:paraId="540FE11D" w14:textId="77777777" w:rsidR="00F47744" w:rsidRPr="00146821" w:rsidRDefault="00F47744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lastRenderedPageBreak/>
              <w:t>Związek Miast Polskich;</w:t>
            </w:r>
          </w:p>
          <w:p w14:paraId="003C07BB" w14:textId="77777777" w:rsidR="00F47744" w:rsidRDefault="00F47744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Związek Powiatów Polskich;</w:t>
            </w:r>
          </w:p>
          <w:p w14:paraId="1A013D85" w14:textId="77777777" w:rsidR="00F47744" w:rsidRPr="00F47744" w:rsidRDefault="00F47744" w:rsidP="00F47744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46821">
              <w:rPr>
                <w:sz w:val="21"/>
                <w:szCs w:val="21"/>
                <w:lang w:eastAsia="ar-SA"/>
              </w:rPr>
              <w:t>Związek Rzemiosła Polskiego;</w:t>
            </w:r>
          </w:p>
          <w:p w14:paraId="3CA1CDB7" w14:textId="77777777" w:rsidR="00755B44" w:rsidRDefault="00764852" w:rsidP="00764852">
            <w:pPr>
              <w:pStyle w:val="Akapitzlist"/>
              <w:numPr>
                <w:ilvl w:val="0"/>
                <w:numId w:val="10"/>
              </w:numPr>
              <w:suppressAutoHyphens/>
              <w:jc w:val="both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Związek Województw RP.</w:t>
            </w:r>
          </w:p>
          <w:p w14:paraId="265DC8BE" w14:textId="77777777" w:rsidR="00764852" w:rsidRPr="00764852" w:rsidRDefault="00764852" w:rsidP="00764852">
            <w:pPr>
              <w:pStyle w:val="Akapitzlist"/>
              <w:suppressAutoHyphens/>
              <w:ind w:left="360"/>
              <w:jc w:val="both"/>
              <w:rPr>
                <w:sz w:val="21"/>
                <w:szCs w:val="21"/>
                <w:lang w:eastAsia="ar-SA"/>
              </w:rPr>
            </w:pPr>
          </w:p>
          <w:p w14:paraId="76EAF637" w14:textId="77777777" w:rsidR="00011086" w:rsidRDefault="00755B44" w:rsidP="008B422C">
            <w:pPr>
              <w:pStyle w:val="Akapitzlist"/>
              <w:suppressAutoHyphens/>
              <w:ind w:left="0"/>
              <w:jc w:val="both"/>
              <w:rPr>
                <w:lang w:eastAsia="ar-SA"/>
              </w:rPr>
            </w:pPr>
            <w:r w:rsidRPr="0063022F">
              <w:rPr>
                <w:lang w:eastAsia="ar-SA"/>
              </w:rPr>
              <w:t>Projekt rozporządzenia zosta</w:t>
            </w:r>
            <w:r w:rsidR="00D84E1E">
              <w:rPr>
                <w:lang w:eastAsia="ar-SA"/>
              </w:rPr>
              <w:t xml:space="preserve">nie </w:t>
            </w:r>
            <w:r w:rsidRPr="0063022F">
              <w:rPr>
                <w:lang w:eastAsia="ar-SA"/>
              </w:rPr>
              <w:t>przekazany do zaopiniowania przez</w:t>
            </w:r>
            <w:r w:rsidR="00003797" w:rsidRPr="0063022F">
              <w:rPr>
                <w:lang w:eastAsia="ar-SA"/>
              </w:rPr>
              <w:t xml:space="preserve"> </w:t>
            </w:r>
            <w:r w:rsidRPr="0063022F">
              <w:rPr>
                <w:lang w:eastAsia="ar-SA"/>
              </w:rPr>
              <w:t xml:space="preserve">Rzecznika Praw Obywatelskich, Rzecznika Praw Dziecka, Prezesa Prokuratorii Generalnej Skarbu Państwa, Generalnego Inspektora Ochrony Danych Osobowych, Prezesa Głównego Urzędu Statystycznego, Komendanta Głównego Państwowej Straży Pożarnej i Głównego Inspektora Sanitarnego. </w:t>
            </w:r>
          </w:p>
          <w:p w14:paraId="2EF489FA" w14:textId="77777777" w:rsidR="004C51A6" w:rsidRPr="0063022F" w:rsidRDefault="004C51A6" w:rsidP="008B422C">
            <w:pPr>
              <w:pStyle w:val="Akapitzlist"/>
              <w:suppressAutoHyphens/>
              <w:ind w:left="0"/>
              <w:jc w:val="both"/>
              <w:rPr>
                <w:lang w:eastAsia="ar-SA"/>
              </w:rPr>
            </w:pPr>
          </w:p>
          <w:p w14:paraId="765E082B" w14:textId="77777777" w:rsidR="00995149" w:rsidRPr="0063022F" w:rsidRDefault="00D84E1E" w:rsidP="008B422C">
            <w:pPr>
              <w:pStyle w:val="Akapitzlist"/>
              <w:suppressAutoHyphens/>
              <w:ind w:left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Projekt będzie przekazany także do </w:t>
            </w:r>
            <w:r w:rsidR="00051DA2" w:rsidRPr="0063022F">
              <w:rPr>
                <w:lang w:eastAsia="ar-SA"/>
              </w:rPr>
              <w:t>Komisji Wspólnej Rządu i Samorządu Terytorialnego oraz Komisji Wspólnej Rządu i Mniejszości Narodowych</w:t>
            </w:r>
            <w:r w:rsidR="00806762" w:rsidRPr="0063022F">
              <w:rPr>
                <w:lang w:eastAsia="ar-SA"/>
              </w:rPr>
              <w:t xml:space="preserve"> </w:t>
            </w:r>
            <w:r w:rsidR="00051DA2" w:rsidRPr="0063022F">
              <w:rPr>
                <w:lang w:eastAsia="ar-SA"/>
              </w:rPr>
              <w:t>i Etnicznych.</w:t>
            </w:r>
            <w:r w:rsidR="00ED0398">
              <w:rPr>
                <w:lang w:eastAsia="ar-SA"/>
              </w:rPr>
              <w:t xml:space="preserve"> </w:t>
            </w:r>
          </w:p>
          <w:p w14:paraId="106C5D59" w14:textId="77777777" w:rsidR="00732140" w:rsidRPr="0063022F" w:rsidRDefault="00732140" w:rsidP="008B422C">
            <w:pPr>
              <w:pStyle w:val="Akapitzlist"/>
              <w:suppressAutoHyphens/>
              <w:ind w:left="0"/>
              <w:jc w:val="both"/>
              <w:rPr>
                <w:lang w:eastAsia="ar-SA"/>
              </w:rPr>
            </w:pPr>
          </w:p>
          <w:p w14:paraId="2845DF66" w14:textId="3CAA86FA" w:rsidR="008B422C" w:rsidRDefault="00F663B9" w:rsidP="008B422C">
            <w:pPr>
              <w:pStyle w:val="Akapitzlist"/>
              <w:suppressAutoHyphens/>
              <w:ind w:left="0"/>
              <w:jc w:val="both"/>
              <w:rPr>
                <w:lang w:eastAsia="ar-SA"/>
              </w:rPr>
            </w:pPr>
            <w:r w:rsidRPr="0063022F">
              <w:rPr>
                <w:lang w:eastAsia="ar-SA"/>
              </w:rPr>
              <w:t>Projekt rozporządzenia zosta</w:t>
            </w:r>
            <w:r w:rsidR="00D84E1E">
              <w:rPr>
                <w:lang w:eastAsia="ar-SA"/>
              </w:rPr>
              <w:t>nie</w:t>
            </w:r>
            <w:r w:rsidRPr="0063022F">
              <w:rPr>
                <w:lang w:eastAsia="ar-SA"/>
              </w:rPr>
              <w:t xml:space="preserve"> udostępniony w Biuletynie Informacji Publicznej Ministerstwa Edukacji Narodowej, zgodnie z art. 5 ustawy z dnia 7 lipca 2005 r. o działalności lobbingowej w procesie stanowienia prawa (Dz. U. </w:t>
            </w:r>
            <w:r w:rsidR="00AB4B47">
              <w:rPr>
                <w:lang w:eastAsia="ar-SA"/>
              </w:rPr>
              <w:t>z 2017 r. poz. 248)</w:t>
            </w:r>
            <w:r w:rsidRPr="0063022F">
              <w:rPr>
                <w:lang w:eastAsia="ar-SA"/>
              </w:rPr>
              <w:t xml:space="preserve"> oraz w Biuletynie Informacji Publicznej Rządowego Centrum Legislacji w zakładce Rządowy</w:t>
            </w:r>
            <w:r w:rsidR="0063022F" w:rsidRPr="0063022F">
              <w:rPr>
                <w:lang w:eastAsia="ar-SA"/>
              </w:rPr>
              <w:t xml:space="preserve"> Proces Legislacyjny, zgodnie z </w:t>
            </w:r>
            <w:r w:rsidRPr="0063022F">
              <w:rPr>
                <w:lang w:eastAsia="ar-SA"/>
              </w:rPr>
              <w:t xml:space="preserve">§ 52 ust. 1 </w:t>
            </w:r>
            <w:r w:rsidR="0063022F">
              <w:rPr>
                <w:lang w:eastAsia="ar-SA"/>
              </w:rPr>
              <w:t>uchwały nr 190 Rady Ministrów z </w:t>
            </w:r>
            <w:r w:rsidRPr="0063022F">
              <w:rPr>
                <w:lang w:eastAsia="ar-SA"/>
              </w:rPr>
              <w:t xml:space="preserve">dnia 29 października 2013 r. – </w:t>
            </w:r>
            <w:r w:rsidR="00DB3861" w:rsidRPr="0063022F">
              <w:rPr>
                <w:lang w:eastAsia="ar-SA"/>
              </w:rPr>
              <w:t xml:space="preserve">Regulamin pracy Rady Ministrów (M. P. </w:t>
            </w:r>
            <w:r w:rsidR="0063022F" w:rsidRPr="0063022F">
              <w:rPr>
                <w:lang w:eastAsia="ar-SA"/>
              </w:rPr>
              <w:t>z </w:t>
            </w:r>
            <w:r w:rsidR="00DB3861" w:rsidRPr="0063022F">
              <w:rPr>
                <w:lang w:eastAsia="ar-SA"/>
              </w:rPr>
              <w:t>201</w:t>
            </w:r>
            <w:r w:rsidR="0063022F" w:rsidRPr="0063022F">
              <w:rPr>
                <w:lang w:eastAsia="ar-SA"/>
              </w:rPr>
              <w:t>6 </w:t>
            </w:r>
            <w:r w:rsidR="00DB3861" w:rsidRPr="0063022F">
              <w:rPr>
                <w:lang w:eastAsia="ar-SA"/>
              </w:rPr>
              <w:t>r. poz. 1006</w:t>
            </w:r>
            <w:r w:rsidR="00AB4B47">
              <w:rPr>
                <w:lang w:eastAsia="ar-SA"/>
              </w:rPr>
              <w:t>, z późn. zm.)</w:t>
            </w:r>
            <w:r w:rsidR="00DB3861" w:rsidRPr="0063022F">
              <w:rPr>
                <w:lang w:eastAsia="ar-SA"/>
              </w:rPr>
              <w:t>.</w:t>
            </w:r>
          </w:p>
          <w:p w14:paraId="1B980B26" w14:textId="77777777" w:rsidR="00DB7E2E" w:rsidRPr="0063022F" w:rsidRDefault="00DB7E2E" w:rsidP="008B422C">
            <w:pPr>
              <w:pStyle w:val="Akapitzlist"/>
              <w:suppressAutoHyphens/>
              <w:ind w:left="0"/>
              <w:jc w:val="both"/>
              <w:rPr>
                <w:lang w:eastAsia="ar-SA"/>
              </w:rPr>
            </w:pPr>
          </w:p>
          <w:p w14:paraId="32F06209" w14:textId="77777777" w:rsidR="00697004" w:rsidRPr="008B422C" w:rsidRDefault="0065730B" w:rsidP="008B422C">
            <w:pPr>
              <w:pStyle w:val="Akapitzlist"/>
              <w:suppressAutoHyphens/>
              <w:ind w:left="0"/>
              <w:jc w:val="both"/>
              <w:rPr>
                <w:sz w:val="21"/>
                <w:szCs w:val="21"/>
                <w:lang w:eastAsia="ar-SA"/>
              </w:rPr>
            </w:pPr>
            <w:r w:rsidRPr="00F60BDF">
              <w:rPr>
                <w:color w:val="000000"/>
                <w:spacing w:val="-2"/>
              </w:rPr>
              <w:t>Podsumowanie konsultacji publicznych i opiniowania zostało opisane w raporcie z konsultacji.</w:t>
            </w:r>
          </w:p>
        </w:tc>
      </w:tr>
      <w:tr w:rsidR="00995149" w:rsidRPr="00345AFC" w14:paraId="479E0AEC" w14:textId="77777777" w:rsidTr="00EA2221">
        <w:trPr>
          <w:trHeight w:val="363"/>
          <w:jc w:val="center"/>
        </w:trPr>
        <w:tc>
          <w:tcPr>
            <w:tcW w:w="10861" w:type="dxa"/>
            <w:gridSpan w:val="29"/>
            <w:shd w:val="clear" w:color="auto" w:fill="99CCFF"/>
            <w:vAlign w:val="center"/>
          </w:tcPr>
          <w:p w14:paraId="1C1408B0" w14:textId="77777777" w:rsidR="00995149" w:rsidRPr="00345AFC" w:rsidRDefault="00995149" w:rsidP="008013EA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b/>
              </w:rPr>
            </w:pPr>
            <w:r w:rsidRPr="00345AFC">
              <w:rPr>
                <w:b/>
              </w:rPr>
              <w:lastRenderedPageBreak/>
              <w:t xml:space="preserve"> Wpływ na sektor finansów publicznych</w:t>
            </w:r>
          </w:p>
        </w:tc>
      </w:tr>
      <w:tr w:rsidR="00995149" w:rsidRPr="00345AFC" w14:paraId="03C0CEA6" w14:textId="77777777" w:rsidTr="00EA2221">
        <w:trPr>
          <w:trHeight w:val="142"/>
          <w:jc w:val="center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1515E86A" w14:textId="77777777" w:rsidR="00995149" w:rsidRPr="00345AFC" w:rsidRDefault="00995149" w:rsidP="00FD27AD">
            <w:pPr>
              <w:spacing w:before="40" w:after="40"/>
              <w:rPr>
                <w:i/>
              </w:rPr>
            </w:pPr>
            <w:r w:rsidRPr="00345AFC">
              <w:t>(ceny stałe z 201</w:t>
            </w:r>
            <w:r w:rsidR="00FD27AD">
              <w:t>6</w:t>
            </w:r>
            <w:r w:rsidRPr="00345AFC">
              <w:t xml:space="preserve"> r.)</w:t>
            </w:r>
          </w:p>
        </w:tc>
        <w:tc>
          <w:tcPr>
            <w:tcW w:w="7728" w:type="dxa"/>
            <w:gridSpan w:val="25"/>
            <w:shd w:val="clear" w:color="auto" w:fill="FFFFFF"/>
          </w:tcPr>
          <w:p w14:paraId="0481D479" w14:textId="77777777" w:rsidR="00995149" w:rsidRPr="00345AFC" w:rsidRDefault="00995149" w:rsidP="008013EA">
            <w:pPr>
              <w:spacing w:before="40" w:after="40"/>
              <w:jc w:val="center"/>
              <w:rPr>
                <w:i/>
                <w:spacing w:val="-2"/>
              </w:rPr>
            </w:pPr>
            <w:r w:rsidRPr="00345AFC">
              <w:t>Skutki w okresie 10 lat od wejścia w życie zmian [mln zł]</w:t>
            </w:r>
          </w:p>
        </w:tc>
      </w:tr>
      <w:tr w:rsidR="00995149" w:rsidRPr="00345AFC" w14:paraId="1FC003F8" w14:textId="77777777" w:rsidTr="00EA2221">
        <w:trPr>
          <w:trHeight w:val="142"/>
          <w:jc w:val="center"/>
        </w:trPr>
        <w:tc>
          <w:tcPr>
            <w:tcW w:w="3133" w:type="dxa"/>
            <w:gridSpan w:val="4"/>
            <w:vMerge/>
            <w:shd w:val="clear" w:color="auto" w:fill="FFFFFF"/>
          </w:tcPr>
          <w:p w14:paraId="16C45B9F" w14:textId="77777777" w:rsidR="00995149" w:rsidRPr="00345AFC" w:rsidRDefault="00995149" w:rsidP="008013EA">
            <w:pPr>
              <w:spacing w:before="40" w:after="40"/>
              <w:rPr>
                <w:i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05FBA7C6" w14:textId="77777777" w:rsidR="00995149" w:rsidRPr="00345AFC" w:rsidRDefault="00995149" w:rsidP="008013EA">
            <w:pPr>
              <w:jc w:val="center"/>
            </w:pPr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2601592" w14:textId="77777777" w:rsidR="00995149" w:rsidRPr="00345AFC" w:rsidRDefault="00995149" w:rsidP="008013EA">
            <w:pPr>
              <w:jc w:val="center"/>
            </w:pPr>
            <w:r w:rsidRPr="00345AFC"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B28562F" w14:textId="77777777" w:rsidR="00995149" w:rsidRPr="00345AFC" w:rsidRDefault="00995149" w:rsidP="008013EA">
            <w:pPr>
              <w:jc w:val="center"/>
            </w:pPr>
            <w:r w:rsidRPr="00345AFC"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57F223D" w14:textId="77777777" w:rsidR="00995149" w:rsidRPr="00345AFC" w:rsidRDefault="00995149" w:rsidP="008013EA">
            <w:pPr>
              <w:jc w:val="center"/>
            </w:pPr>
            <w:r w:rsidRPr="00345AFC"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9515DD7" w14:textId="77777777" w:rsidR="00995149" w:rsidRPr="00345AFC" w:rsidRDefault="00995149" w:rsidP="008013EA">
            <w:pPr>
              <w:jc w:val="center"/>
            </w:pPr>
            <w:r w:rsidRPr="00345AFC">
              <w:t>4</w:t>
            </w:r>
          </w:p>
        </w:tc>
        <w:tc>
          <w:tcPr>
            <w:tcW w:w="570" w:type="dxa"/>
            <w:shd w:val="clear" w:color="auto" w:fill="FFFFFF"/>
          </w:tcPr>
          <w:p w14:paraId="7189FF95" w14:textId="77777777" w:rsidR="00995149" w:rsidRPr="00345AFC" w:rsidRDefault="00995149" w:rsidP="008013EA">
            <w:pPr>
              <w:jc w:val="center"/>
            </w:pPr>
            <w:r w:rsidRPr="00345AFC"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61EE858" w14:textId="77777777" w:rsidR="00995149" w:rsidRPr="00345AFC" w:rsidRDefault="00995149" w:rsidP="008013EA">
            <w:pPr>
              <w:jc w:val="center"/>
            </w:pPr>
            <w:r w:rsidRPr="00345AFC"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AC4637D" w14:textId="77777777" w:rsidR="00995149" w:rsidRPr="00345AFC" w:rsidRDefault="00995149" w:rsidP="008013EA">
            <w:pPr>
              <w:jc w:val="center"/>
            </w:pPr>
            <w:r w:rsidRPr="00345AFC"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B29A559" w14:textId="77777777" w:rsidR="00995149" w:rsidRPr="00345AFC" w:rsidRDefault="00995149" w:rsidP="008013EA">
            <w:pPr>
              <w:jc w:val="center"/>
            </w:pPr>
            <w:r w:rsidRPr="00345AFC"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B939BF" w14:textId="77777777" w:rsidR="00995149" w:rsidRPr="00345AFC" w:rsidRDefault="00995149" w:rsidP="008013EA">
            <w:pPr>
              <w:jc w:val="center"/>
            </w:pPr>
            <w:r w:rsidRPr="00345AFC">
              <w:t>9</w:t>
            </w:r>
          </w:p>
        </w:tc>
        <w:tc>
          <w:tcPr>
            <w:tcW w:w="570" w:type="dxa"/>
            <w:shd w:val="clear" w:color="auto" w:fill="FFFFFF"/>
          </w:tcPr>
          <w:p w14:paraId="47E93C3D" w14:textId="77777777" w:rsidR="00995149" w:rsidRPr="00345AFC" w:rsidRDefault="00995149" w:rsidP="008013EA">
            <w:pPr>
              <w:jc w:val="center"/>
            </w:pPr>
            <w:r w:rsidRPr="00345AFC">
              <w:t>10</w:t>
            </w:r>
          </w:p>
        </w:tc>
        <w:tc>
          <w:tcPr>
            <w:tcW w:w="1461" w:type="dxa"/>
            <w:gridSpan w:val="2"/>
            <w:shd w:val="clear" w:color="auto" w:fill="FFFFFF"/>
          </w:tcPr>
          <w:p w14:paraId="59B8C08F" w14:textId="77777777" w:rsidR="00995149" w:rsidRPr="00345AFC" w:rsidRDefault="00995149" w:rsidP="008013EA">
            <w:pPr>
              <w:spacing w:before="40" w:after="40"/>
              <w:jc w:val="center"/>
              <w:rPr>
                <w:i/>
                <w:spacing w:val="-2"/>
              </w:rPr>
            </w:pPr>
            <w:r w:rsidRPr="00345AFC">
              <w:rPr>
                <w:i/>
                <w:spacing w:val="-2"/>
              </w:rPr>
              <w:t>Łącznie (0-10)</w:t>
            </w:r>
          </w:p>
        </w:tc>
      </w:tr>
      <w:tr w:rsidR="00995149" w:rsidRPr="00345AFC" w14:paraId="6D9E0EA6" w14:textId="77777777" w:rsidTr="00EA2221">
        <w:trPr>
          <w:trHeight w:val="32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46508A7" w14:textId="77777777" w:rsidR="00995149" w:rsidRPr="00345AFC" w:rsidRDefault="00995149" w:rsidP="008013EA">
            <w:r w:rsidRPr="00345AFC">
              <w:rPr>
                <w:b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309B40D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64D3835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7208CB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0C82EC8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AB7A318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01F8B40D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D201284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27329D9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1936C8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D578566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31A585BA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1461" w:type="dxa"/>
            <w:gridSpan w:val="2"/>
            <w:shd w:val="clear" w:color="auto" w:fill="FFFFFF"/>
          </w:tcPr>
          <w:p w14:paraId="36080B16" w14:textId="77777777" w:rsidR="00995149" w:rsidRPr="00345AFC" w:rsidRDefault="00995149" w:rsidP="008013EA">
            <w:pPr>
              <w:rPr>
                <w:spacing w:val="-2"/>
              </w:rPr>
            </w:pPr>
            <w:r w:rsidRPr="00345AFC">
              <w:rPr>
                <w:spacing w:val="-2"/>
              </w:rPr>
              <w:t>0</w:t>
            </w:r>
          </w:p>
        </w:tc>
      </w:tr>
      <w:tr w:rsidR="00995149" w:rsidRPr="00345AFC" w14:paraId="4E56B9DE" w14:textId="77777777" w:rsidTr="00EA2221">
        <w:trPr>
          <w:trHeight w:val="32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3A4F754" w14:textId="77777777" w:rsidR="00995149" w:rsidRPr="00345AFC" w:rsidRDefault="00995149" w:rsidP="008013EA">
            <w:r w:rsidRPr="00345AFC"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AB149A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E625F7C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F5E226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9F1BE4B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A1E321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73738273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16072AF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C1C759F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AD92AA1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845427A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6413E995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1461" w:type="dxa"/>
            <w:gridSpan w:val="2"/>
            <w:shd w:val="clear" w:color="auto" w:fill="FFFFFF"/>
          </w:tcPr>
          <w:p w14:paraId="6AF4D9DC" w14:textId="77777777" w:rsidR="00995149" w:rsidRPr="00345AFC" w:rsidRDefault="00995149" w:rsidP="008013EA">
            <w:pPr>
              <w:rPr>
                <w:spacing w:val="-2"/>
              </w:rPr>
            </w:pPr>
            <w:r w:rsidRPr="00345AFC">
              <w:rPr>
                <w:spacing w:val="-2"/>
              </w:rPr>
              <w:t>0</w:t>
            </w:r>
          </w:p>
        </w:tc>
      </w:tr>
      <w:tr w:rsidR="00995149" w:rsidRPr="00345AFC" w14:paraId="1C61FD8C" w14:textId="77777777" w:rsidTr="00EA2221">
        <w:trPr>
          <w:trHeight w:val="344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02557AE" w14:textId="77777777" w:rsidR="00995149" w:rsidRPr="00345AFC" w:rsidRDefault="00995149" w:rsidP="008013EA">
            <w:r w:rsidRPr="00345AFC"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3A1ACD7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708D0B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4DFD024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940B331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2274EE4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690A76D7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17DF33E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7E962E5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F83CF11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ABC43F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1E949582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1461" w:type="dxa"/>
            <w:gridSpan w:val="2"/>
            <w:shd w:val="clear" w:color="auto" w:fill="FFFFFF"/>
          </w:tcPr>
          <w:p w14:paraId="45385001" w14:textId="77777777" w:rsidR="00995149" w:rsidRPr="00345AFC" w:rsidRDefault="00995149" w:rsidP="008013EA">
            <w:r w:rsidRPr="00345AFC">
              <w:t>0</w:t>
            </w:r>
          </w:p>
        </w:tc>
      </w:tr>
      <w:tr w:rsidR="00995149" w:rsidRPr="00345AFC" w14:paraId="0C9E7431" w14:textId="77777777" w:rsidTr="00EA2221">
        <w:trPr>
          <w:trHeight w:val="344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648ACC3" w14:textId="77777777" w:rsidR="00995149" w:rsidRPr="00345AFC" w:rsidRDefault="00995149" w:rsidP="008013EA">
            <w:r w:rsidRPr="00345AFC"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D18AAED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6622A21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EF6FA45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3EC117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65F6DD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5CBC5BD1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11B5178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0113BB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02BB9A3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87D6EDD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2F130D85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1461" w:type="dxa"/>
            <w:gridSpan w:val="2"/>
            <w:shd w:val="clear" w:color="auto" w:fill="FFFFFF"/>
          </w:tcPr>
          <w:p w14:paraId="08FA7D1D" w14:textId="77777777" w:rsidR="00995149" w:rsidRPr="00345AFC" w:rsidRDefault="00995149" w:rsidP="008013EA">
            <w:r w:rsidRPr="00345AFC">
              <w:t>0</w:t>
            </w:r>
          </w:p>
        </w:tc>
      </w:tr>
      <w:tr w:rsidR="00995149" w:rsidRPr="00345AFC" w14:paraId="78F2C4CB" w14:textId="77777777" w:rsidTr="00EA2221">
        <w:trPr>
          <w:trHeight w:val="33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5DC272F" w14:textId="77777777" w:rsidR="00995149" w:rsidRPr="00345AFC" w:rsidRDefault="00995149" w:rsidP="008013EA">
            <w:r w:rsidRPr="00345AFC">
              <w:rPr>
                <w:b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9D8166E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1E16A6D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FBCCA16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8A19CD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B09A3D8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0BDF458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F7A038A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6E675E9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2464EFF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E51874B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58C02F59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1461" w:type="dxa"/>
            <w:gridSpan w:val="2"/>
            <w:shd w:val="clear" w:color="auto" w:fill="FFFFFF"/>
          </w:tcPr>
          <w:p w14:paraId="5FE540C6" w14:textId="77777777" w:rsidR="00995149" w:rsidRPr="00345AFC" w:rsidRDefault="00995149" w:rsidP="008013EA">
            <w:r w:rsidRPr="00345AFC">
              <w:t>0</w:t>
            </w:r>
          </w:p>
        </w:tc>
      </w:tr>
      <w:tr w:rsidR="00995149" w:rsidRPr="00345AFC" w14:paraId="7EEC3BE7" w14:textId="77777777" w:rsidTr="00EA2221">
        <w:trPr>
          <w:trHeight w:val="33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47489EC" w14:textId="77777777" w:rsidR="00995149" w:rsidRPr="00345AFC" w:rsidRDefault="00995149" w:rsidP="008013EA">
            <w:r w:rsidRPr="00345AFC"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5DBE50B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FEECDAE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75581A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65AA2E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E275DB7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0743165E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3BDC24E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1D3FFFB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D100B44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8CE354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26F9ED2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1461" w:type="dxa"/>
            <w:gridSpan w:val="2"/>
            <w:shd w:val="clear" w:color="auto" w:fill="FFFFFF"/>
          </w:tcPr>
          <w:p w14:paraId="5D0AB5C5" w14:textId="77777777" w:rsidR="00995149" w:rsidRPr="00345AFC" w:rsidRDefault="00995149" w:rsidP="008013EA">
            <w:r w:rsidRPr="00345AFC">
              <w:t>0</w:t>
            </w:r>
          </w:p>
        </w:tc>
      </w:tr>
      <w:tr w:rsidR="00995149" w:rsidRPr="00345AFC" w14:paraId="727E89F6" w14:textId="77777777" w:rsidTr="00EA2221">
        <w:trPr>
          <w:trHeight w:val="35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7C2F7FE" w14:textId="77777777" w:rsidR="00995149" w:rsidRPr="00345AFC" w:rsidRDefault="00995149" w:rsidP="008013EA">
            <w:r w:rsidRPr="00345AFC"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DB0947B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A3CF7EC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FFFC5EB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2589028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A9F0276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612E17A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04D2CCB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BBC2F27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D69C8FB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E50088B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6F64A1A6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1461" w:type="dxa"/>
            <w:gridSpan w:val="2"/>
            <w:shd w:val="clear" w:color="auto" w:fill="FFFFFF"/>
          </w:tcPr>
          <w:p w14:paraId="029A3F64" w14:textId="77777777" w:rsidR="00995149" w:rsidRPr="00345AFC" w:rsidRDefault="00995149" w:rsidP="008013EA">
            <w:r w:rsidRPr="00345AFC">
              <w:t>0</w:t>
            </w:r>
          </w:p>
        </w:tc>
      </w:tr>
      <w:tr w:rsidR="00995149" w:rsidRPr="00345AFC" w14:paraId="0C890B5D" w14:textId="77777777" w:rsidTr="00EA2221">
        <w:trPr>
          <w:trHeight w:val="35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B7F89C4" w14:textId="77777777" w:rsidR="00995149" w:rsidRPr="00345AFC" w:rsidRDefault="00995149" w:rsidP="008013EA">
            <w:r w:rsidRPr="00345AFC"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6D52E98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B6969F1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6120B88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D513719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FBB99FD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3B0F6BEE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9AC6E5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710DFA2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D602B42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D6861EA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488106E1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1461" w:type="dxa"/>
            <w:gridSpan w:val="2"/>
            <w:shd w:val="clear" w:color="auto" w:fill="FFFFFF"/>
          </w:tcPr>
          <w:p w14:paraId="18F1BA69" w14:textId="77777777" w:rsidR="00995149" w:rsidRPr="00345AFC" w:rsidRDefault="00995149" w:rsidP="008013EA">
            <w:r w:rsidRPr="00345AFC">
              <w:t>0</w:t>
            </w:r>
          </w:p>
        </w:tc>
      </w:tr>
      <w:tr w:rsidR="00995149" w:rsidRPr="00345AFC" w14:paraId="39279D13" w14:textId="77777777" w:rsidTr="00EA2221">
        <w:trPr>
          <w:trHeight w:val="36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085B1A0" w14:textId="77777777" w:rsidR="00995149" w:rsidRPr="00345AFC" w:rsidRDefault="00995149" w:rsidP="008013EA">
            <w:r w:rsidRPr="00345AFC">
              <w:rPr>
                <w:b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3FBFB8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4EC3612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E303FA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41C6F3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1E27308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4763D7A4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C549155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3585327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E7AE0DF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B11C5D2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63DED7F6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1461" w:type="dxa"/>
            <w:gridSpan w:val="2"/>
            <w:shd w:val="clear" w:color="auto" w:fill="FFFFFF"/>
          </w:tcPr>
          <w:p w14:paraId="770FEDED" w14:textId="77777777" w:rsidR="00995149" w:rsidRPr="00345AFC" w:rsidRDefault="00995149" w:rsidP="008013EA">
            <w:r w:rsidRPr="00345AFC">
              <w:t>0</w:t>
            </w:r>
          </w:p>
        </w:tc>
      </w:tr>
      <w:tr w:rsidR="00995149" w:rsidRPr="00345AFC" w14:paraId="472883EF" w14:textId="77777777" w:rsidTr="00EA2221">
        <w:trPr>
          <w:trHeight w:val="36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FC1C508" w14:textId="77777777" w:rsidR="00995149" w:rsidRPr="00345AFC" w:rsidRDefault="00995149" w:rsidP="008013EA">
            <w:r w:rsidRPr="00345AFC"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7B0A9AA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F69858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E332F75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CB05891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442B44E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5E0BD11A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661B834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DE449A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9E97BCE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D3F7144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45E918F7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1461" w:type="dxa"/>
            <w:gridSpan w:val="2"/>
            <w:shd w:val="clear" w:color="auto" w:fill="FFFFFF"/>
          </w:tcPr>
          <w:p w14:paraId="1A6F9EB7" w14:textId="77777777" w:rsidR="00995149" w:rsidRPr="00345AFC" w:rsidRDefault="00995149" w:rsidP="008013EA">
            <w:r w:rsidRPr="00345AFC">
              <w:t>0</w:t>
            </w:r>
          </w:p>
        </w:tc>
      </w:tr>
      <w:tr w:rsidR="00995149" w:rsidRPr="00345AFC" w14:paraId="19987381" w14:textId="77777777" w:rsidTr="00EA2221">
        <w:trPr>
          <w:trHeight w:val="357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85A3D2A" w14:textId="77777777" w:rsidR="00995149" w:rsidRPr="00345AFC" w:rsidRDefault="00995149" w:rsidP="008013EA">
            <w:r w:rsidRPr="00345AFC"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8E97031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81CC0F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47E478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B89AA46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B564925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68410B3F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259650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A84872B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942521E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055060A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08D58FDE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1461" w:type="dxa"/>
            <w:gridSpan w:val="2"/>
            <w:shd w:val="clear" w:color="auto" w:fill="FFFFFF"/>
          </w:tcPr>
          <w:p w14:paraId="03FCF039" w14:textId="77777777" w:rsidR="00995149" w:rsidRPr="00345AFC" w:rsidRDefault="00995149" w:rsidP="008013EA">
            <w:r w:rsidRPr="00345AFC">
              <w:t>0</w:t>
            </w:r>
          </w:p>
        </w:tc>
      </w:tr>
      <w:tr w:rsidR="00995149" w:rsidRPr="00345AFC" w14:paraId="33AA0734" w14:textId="77777777" w:rsidTr="00EA2221">
        <w:trPr>
          <w:trHeight w:val="357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893E991" w14:textId="77777777" w:rsidR="00995149" w:rsidRPr="00345AFC" w:rsidRDefault="00995149" w:rsidP="008013EA">
            <w:r w:rsidRPr="00345AFC"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D742104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B2358EA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16E744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7B308DF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6845E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6D4D8DAB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340DD85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A7F0FA7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7887FC9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A9B479E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570" w:type="dxa"/>
            <w:shd w:val="clear" w:color="auto" w:fill="FFFFFF"/>
          </w:tcPr>
          <w:p w14:paraId="42174D24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1461" w:type="dxa"/>
            <w:gridSpan w:val="2"/>
            <w:shd w:val="clear" w:color="auto" w:fill="FFFFFF"/>
          </w:tcPr>
          <w:p w14:paraId="12F748A1" w14:textId="77777777" w:rsidR="00995149" w:rsidRPr="00345AFC" w:rsidRDefault="00995149" w:rsidP="008013EA">
            <w:r w:rsidRPr="00345AFC">
              <w:t>0</w:t>
            </w:r>
          </w:p>
        </w:tc>
      </w:tr>
      <w:tr w:rsidR="00995149" w:rsidRPr="00345AFC" w14:paraId="54A41DD7" w14:textId="77777777" w:rsidTr="00DB3861">
        <w:trPr>
          <w:trHeight w:val="348"/>
          <w:jc w:val="center"/>
        </w:trPr>
        <w:tc>
          <w:tcPr>
            <w:tcW w:w="1604" w:type="dxa"/>
            <w:gridSpan w:val="2"/>
            <w:shd w:val="clear" w:color="auto" w:fill="FFFFFF"/>
            <w:vAlign w:val="center"/>
          </w:tcPr>
          <w:p w14:paraId="1CE33102" w14:textId="77777777" w:rsidR="00995149" w:rsidRPr="00345AFC" w:rsidRDefault="00995149" w:rsidP="008013EA">
            <w:r w:rsidRPr="00345AFC">
              <w:t xml:space="preserve">Źródła finansowania </w:t>
            </w:r>
          </w:p>
        </w:tc>
        <w:tc>
          <w:tcPr>
            <w:tcW w:w="9257" w:type="dxa"/>
            <w:gridSpan w:val="27"/>
            <w:shd w:val="clear" w:color="auto" w:fill="FFFFFF"/>
            <w:vAlign w:val="center"/>
          </w:tcPr>
          <w:p w14:paraId="52DBC868" w14:textId="77777777" w:rsidR="00995149" w:rsidRPr="00345AFC" w:rsidRDefault="006F18F1" w:rsidP="008013EA">
            <w:pPr>
              <w:jc w:val="both"/>
            </w:pPr>
            <w:r>
              <w:t>Wejście w życie rozporządzenia nie spowoduje dodatkowych skutków finansowych dla sektora finansów publicznych, w tym dla budżetu państwa i budżetów jednostek samorządu terytorialnego.</w:t>
            </w:r>
          </w:p>
        </w:tc>
      </w:tr>
      <w:tr w:rsidR="00995149" w:rsidRPr="00345AFC" w14:paraId="2DA0EA89" w14:textId="77777777" w:rsidTr="00DB3861">
        <w:trPr>
          <w:trHeight w:val="850"/>
          <w:jc w:val="center"/>
        </w:trPr>
        <w:tc>
          <w:tcPr>
            <w:tcW w:w="1604" w:type="dxa"/>
            <w:gridSpan w:val="2"/>
            <w:shd w:val="clear" w:color="auto" w:fill="FFFFFF"/>
          </w:tcPr>
          <w:p w14:paraId="371995B3" w14:textId="77777777" w:rsidR="00995149" w:rsidRPr="00345AFC" w:rsidRDefault="00995149" w:rsidP="008013EA">
            <w:r w:rsidRPr="00345AFC">
              <w:t xml:space="preserve">Dodatkowe informacje, w tym wskazanie źródeł danych </w:t>
            </w:r>
            <w:r w:rsidRPr="00345AFC">
              <w:lastRenderedPageBreak/>
              <w:t>i przyjętych do obliczeń założeń</w:t>
            </w:r>
          </w:p>
        </w:tc>
        <w:tc>
          <w:tcPr>
            <w:tcW w:w="9257" w:type="dxa"/>
            <w:gridSpan w:val="27"/>
            <w:shd w:val="clear" w:color="auto" w:fill="FFFFFF"/>
          </w:tcPr>
          <w:p w14:paraId="6B90D0A3" w14:textId="77777777" w:rsidR="00322ADD" w:rsidRPr="00345AFC" w:rsidRDefault="006F18F1" w:rsidP="00D84E1E">
            <w:pPr>
              <w:jc w:val="both"/>
            </w:pPr>
            <w:r w:rsidRPr="00345AFC" w:rsidDel="00732140">
              <w:lastRenderedPageBreak/>
              <w:t xml:space="preserve"> </w:t>
            </w:r>
          </w:p>
        </w:tc>
      </w:tr>
      <w:tr w:rsidR="00995149" w:rsidRPr="00345AFC" w14:paraId="20DB2850" w14:textId="77777777" w:rsidTr="00EA2221">
        <w:trPr>
          <w:trHeight w:val="345"/>
          <w:jc w:val="center"/>
        </w:trPr>
        <w:tc>
          <w:tcPr>
            <w:tcW w:w="10861" w:type="dxa"/>
            <w:gridSpan w:val="29"/>
            <w:shd w:val="clear" w:color="auto" w:fill="99CCFF"/>
          </w:tcPr>
          <w:p w14:paraId="11526436" w14:textId="77777777" w:rsidR="00995149" w:rsidRPr="00345AFC" w:rsidRDefault="00995149" w:rsidP="008013EA">
            <w:pPr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pacing w:val="-2"/>
              </w:rPr>
            </w:pPr>
            <w:r w:rsidRPr="00345AFC">
              <w:rPr>
                <w:b/>
                <w:spacing w:val="-2"/>
              </w:rPr>
              <w:t xml:space="preserve">Wpływ na </w:t>
            </w:r>
            <w:r w:rsidRPr="00345AFC">
              <w:rPr>
                <w:b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995149" w:rsidRPr="00345AFC" w14:paraId="0E918F46" w14:textId="77777777" w:rsidTr="00EA2221">
        <w:trPr>
          <w:trHeight w:val="142"/>
          <w:jc w:val="center"/>
        </w:trPr>
        <w:tc>
          <w:tcPr>
            <w:tcW w:w="10861" w:type="dxa"/>
            <w:gridSpan w:val="29"/>
            <w:shd w:val="clear" w:color="auto" w:fill="FFFFFF"/>
          </w:tcPr>
          <w:p w14:paraId="12A63D7D" w14:textId="77777777" w:rsidR="00995149" w:rsidRPr="00345AFC" w:rsidRDefault="00995149" w:rsidP="008013EA">
            <w:pPr>
              <w:jc w:val="center"/>
              <w:rPr>
                <w:spacing w:val="-2"/>
              </w:rPr>
            </w:pPr>
            <w:r w:rsidRPr="00345AFC">
              <w:rPr>
                <w:spacing w:val="-2"/>
              </w:rPr>
              <w:t>Skutki</w:t>
            </w:r>
          </w:p>
        </w:tc>
      </w:tr>
      <w:tr w:rsidR="00995149" w:rsidRPr="00345AFC" w14:paraId="7392EE57" w14:textId="77777777" w:rsidTr="00EA2221">
        <w:trPr>
          <w:trHeight w:val="142"/>
          <w:jc w:val="center"/>
        </w:trPr>
        <w:tc>
          <w:tcPr>
            <w:tcW w:w="3889" w:type="dxa"/>
            <w:gridSpan w:val="7"/>
            <w:shd w:val="clear" w:color="auto" w:fill="FFFFFF"/>
          </w:tcPr>
          <w:p w14:paraId="01322003" w14:textId="77777777" w:rsidR="00995149" w:rsidRPr="00345AFC" w:rsidRDefault="00995149" w:rsidP="008013EA">
            <w:r w:rsidRPr="00345AFC"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B02D3AD" w14:textId="77777777" w:rsidR="00995149" w:rsidRPr="00345AFC" w:rsidRDefault="00995149" w:rsidP="008013EA">
            <w:pPr>
              <w:jc w:val="center"/>
            </w:pPr>
            <w:r w:rsidRPr="00345AFC"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367F83B8" w14:textId="77777777" w:rsidR="00995149" w:rsidRPr="00345AFC" w:rsidRDefault="00995149" w:rsidP="008013EA">
            <w:pPr>
              <w:jc w:val="center"/>
            </w:pPr>
            <w:r w:rsidRPr="00345AFC"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4ECF033" w14:textId="77777777" w:rsidR="00995149" w:rsidRPr="00345AFC" w:rsidRDefault="00995149" w:rsidP="008013EA">
            <w:pPr>
              <w:jc w:val="center"/>
            </w:pPr>
            <w:r w:rsidRPr="00345AFC"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20C7C3DF" w14:textId="77777777" w:rsidR="00995149" w:rsidRPr="00345AFC" w:rsidRDefault="00995149" w:rsidP="008013EA">
            <w:pPr>
              <w:jc w:val="center"/>
            </w:pPr>
            <w:r w:rsidRPr="00345AFC"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AB218B5" w14:textId="77777777" w:rsidR="00995149" w:rsidRPr="00345AFC" w:rsidRDefault="00995149" w:rsidP="008013EA">
            <w:pPr>
              <w:jc w:val="center"/>
            </w:pPr>
            <w:r w:rsidRPr="00345AFC"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D6A914D" w14:textId="77777777" w:rsidR="00995149" w:rsidRPr="00345AFC" w:rsidRDefault="00995149" w:rsidP="008013EA">
            <w:pPr>
              <w:jc w:val="center"/>
            </w:pPr>
            <w:r w:rsidRPr="00345AFC">
              <w:t>10</w:t>
            </w:r>
          </w:p>
        </w:tc>
        <w:tc>
          <w:tcPr>
            <w:tcW w:w="1346" w:type="dxa"/>
            <w:shd w:val="clear" w:color="auto" w:fill="FFFFFF"/>
          </w:tcPr>
          <w:p w14:paraId="4C54FDA1" w14:textId="77777777" w:rsidR="00995149" w:rsidRPr="00345AFC" w:rsidRDefault="00995149" w:rsidP="008013EA">
            <w:pPr>
              <w:jc w:val="center"/>
              <w:rPr>
                <w:i/>
                <w:spacing w:val="-2"/>
              </w:rPr>
            </w:pPr>
            <w:r w:rsidRPr="00345AFC">
              <w:rPr>
                <w:i/>
                <w:spacing w:val="-2"/>
              </w:rPr>
              <w:t>Łącznie</w:t>
            </w:r>
            <w:r w:rsidRPr="00345AFC" w:rsidDel="0073273A">
              <w:rPr>
                <w:i/>
                <w:spacing w:val="-2"/>
              </w:rPr>
              <w:t xml:space="preserve"> </w:t>
            </w:r>
            <w:r w:rsidRPr="00345AFC">
              <w:rPr>
                <w:i/>
                <w:spacing w:val="-2"/>
              </w:rPr>
              <w:t>(0-10)</w:t>
            </w:r>
          </w:p>
        </w:tc>
      </w:tr>
      <w:tr w:rsidR="00995149" w:rsidRPr="00345AFC" w14:paraId="3B315927" w14:textId="77777777" w:rsidTr="00EA2221">
        <w:trPr>
          <w:trHeight w:val="142"/>
          <w:jc w:val="center"/>
        </w:trPr>
        <w:tc>
          <w:tcPr>
            <w:tcW w:w="1596" w:type="dxa"/>
            <w:vMerge w:val="restart"/>
            <w:shd w:val="clear" w:color="auto" w:fill="FFFFFF"/>
          </w:tcPr>
          <w:p w14:paraId="66CE6C2D" w14:textId="77777777" w:rsidR="00995149" w:rsidRPr="00345AFC" w:rsidRDefault="00995149" w:rsidP="008013EA">
            <w:r w:rsidRPr="00345AFC">
              <w:t>W ujęciu pieniężnym</w:t>
            </w:r>
          </w:p>
          <w:p w14:paraId="1818DBD5" w14:textId="77777777" w:rsidR="00995149" w:rsidRPr="00345AFC" w:rsidRDefault="00995149" w:rsidP="008013EA">
            <w:pPr>
              <w:rPr>
                <w:spacing w:val="-2"/>
              </w:rPr>
            </w:pPr>
            <w:r w:rsidRPr="00345AFC">
              <w:rPr>
                <w:spacing w:val="-2"/>
              </w:rPr>
              <w:t xml:space="preserve">(w mln zł, </w:t>
            </w:r>
          </w:p>
          <w:p w14:paraId="0CB639EC" w14:textId="77777777" w:rsidR="00995149" w:rsidRPr="00345AFC" w:rsidRDefault="00995149" w:rsidP="008013EA">
            <w:r w:rsidRPr="00345AFC">
              <w:rPr>
                <w:spacing w:val="-2"/>
              </w:rPr>
              <w:t>ceny stałe z 201</w:t>
            </w:r>
            <w:r w:rsidR="00003797">
              <w:rPr>
                <w:spacing w:val="-2"/>
              </w:rPr>
              <w:t>6</w:t>
            </w:r>
            <w:r w:rsidRPr="00345AFC">
              <w:rPr>
                <w:spacing w:val="-2"/>
              </w:rPr>
              <w:t xml:space="preserve">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5D8C769" w14:textId="77777777" w:rsidR="00995149" w:rsidRPr="00345AFC" w:rsidRDefault="00995149" w:rsidP="008013EA">
            <w:r w:rsidRPr="00345AFC"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866D539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C0EA987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98A4DE7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39DB50B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DB34B80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26445FD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1346" w:type="dxa"/>
            <w:shd w:val="clear" w:color="auto" w:fill="FFFFFF"/>
          </w:tcPr>
          <w:p w14:paraId="6BDDE89A" w14:textId="77777777" w:rsidR="00995149" w:rsidRPr="00345AFC" w:rsidRDefault="00995149" w:rsidP="008013EA">
            <w:pPr>
              <w:rPr>
                <w:spacing w:val="-2"/>
              </w:rPr>
            </w:pPr>
            <w:r w:rsidRPr="00345AFC">
              <w:rPr>
                <w:spacing w:val="-2"/>
              </w:rPr>
              <w:t>0</w:t>
            </w:r>
          </w:p>
        </w:tc>
      </w:tr>
      <w:tr w:rsidR="00995149" w:rsidRPr="00345AFC" w14:paraId="7F803E04" w14:textId="77777777" w:rsidTr="00EA2221">
        <w:trPr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6F35F4B9" w14:textId="77777777" w:rsidR="00995149" w:rsidRPr="00345AFC" w:rsidRDefault="00995149" w:rsidP="008013EA"/>
        </w:tc>
        <w:tc>
          <w:tcPr>
            <w:tcW w:w="2293" w:type="dxa"/>
            <w:gridSpan w:val="6"/>
            <w:shd w:val="clear" w:color="auto" w:fill="FFFFFF"/>
          </w:tcPr>
          <w:p w14:paraId="03FA48F5" w14:textId="77777777" w:rsidR="00995149" w:rsidRPr="00345AFC" w:rsidRDefault="00995149" w:rsidP="008013EA">
            <w:r w:rsidRPr="00345AFC"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3CD9A46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71A43CE7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4C16314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A02C52A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752C05C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CAA7D09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1346" w:type="dxa"/>
            <w:shd w:val="clear" w:color="auto" w:fill="FFFFFF"/>
          </w:tcPr>
          <w:p w14:paraId="638BA686" w14:textId="77777777" w:rsidR="00995149" w:rsidRPr="00345AFC" w:rsidRDefault="00995149" w:rsidP="008013EA">
            <w:pPr>
              <w:rPr>
                <w:spacing w:val="-2"/>
              </w:rPr>
            </w:pPr>
            <w:r w:rsidRPr="00345AFC">
              <w:rPr>
                <w:spacing w:val="-2"/>
              </w:rPr>
              <w:t>0</w:t>
            </w:r>
          </w:p>
        </w:tc>
      </w:tr>
      <w:tr w:rsidR="00995149" w:rsidRPr="00345AFC" w14:paraId="77C937EB" w14:textId="77777777" w:rsidTr="00EA2221">
        <w:trPr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75D80966" w14:textId="77777777" w:rsidR="00995149" w:rsidRPr="00345AFC" w:rsidRDefault="00995149" w:rsidP="008013EA"/>
        </w:tc>
        <w:tc>
          <w:tcPr>
            <w:tcW w:w="2293" w:type="dxa"/>
            <w:gridSpan w:val="6"/>
            <w:shd w:val="clear" w:color="auto" w:fill="FFFFFF"/>
          </w:tcPr>
          <w:p w14:paraId="7BED8842" w14:textId="77777777" w:rsidR="00995149" w:rsidRPr="00345AFC" w:rsidRDefault="00995149" w:rsidP="008013EA">
            <w:r w:rsidRPr="00345AFC"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2915611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7C9FC162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7CACC6F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5A116D4E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99B1EE7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EFD6E63" w14:textId="77777777" w:rsidR="00995149" w:rsidRPr="00345AFC" w:rsidRDefault="00995149" w:rsidP="008013EA">
            <w:r w:rsidRPr="00345AFC">
              <w:t>0</w:t>
            </w:r>
          </w:p>
        </w:tc>
        <w:tc>
          <w:tcPr>
            <w:tcW w:w="1346" w:type="dxa"/>
            <w:shd w:val="clear" w:color="auto" w:fill="FFFFFF"/>
          </w:tcPr>
          <w:p w14:paraId="5B80D070" w14:textId="77777777" w:rsidR="00995149" w:rsidRPr="00345AFC" w:rsidRDefault="00995149" w:rsidP="008013EA">
            <w:pPr>
              <w:rPr>
                <w:spacing w:val="-2"/>
              </w:rPr>
            </w:pPr>
            <w:r w:rsidRPr="00345AFC">
              <w:rPr>
                <w:spacing w:val="-2"/>
              </w:rPr>
              <w:t>0</w:t>
            </w:r>
          </w:p>
        </w:tc>
      </w:tr>
      <w:tr w:rsidR="00995149" w:rsidRPr="00345AFC" w14:paraId="55172622" w14:textId="77777777" w:rsidTr="00EA2221">
        <w:trPr>
          <w:trHeight w:val="142"/>
          <w:jc w:val="center"/>
        </w:trPr>
        <w:tc>
          <w:tcPr>
            <w:tcW w:w="1596" w:type="dxa"/>
            <w:vMerge w:val="restart"/>
            <w:shd w:val="clear" w:color="auto" w:fill="FFFFFF"/>
          </w:tcPr>
          <w:p w14:paraId="7D732D66" w14:textId="77777777" w:rsidR="00995149" w:rsidRPr="00345AFC" w:rsidRDefault="00995149" w:rsidP="008013EA">
            <w:r w:rsidRPr="00345AFC"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6A1AC26" w14:textId="77777777" w:rsidR="00995149" w:rsidRPr="00345AFC" w:rsidRDefault="00995149" w:rsidP="008013EA">
            <w:r w:rsidRPr="00345AFC">
              <w:t>duże przedsiębiorstwa</w:t>
            </w:r>
          </w:p>
        </w:tc>
        <w:tc>
          <w:tcPr>
            <w:tcW w:w="6972" w:type="dxa"/>
            <w:gridSpan w:val="22"/>
            <w:shd w:val="clear" w:color="auto" w:fill="FFFFFF"/>
          </w:tcPr>
          <w:p w14:paraId="4355FEA7" w14:textId="77777777" w:rsidR="00995149" w:rsidRPr="00345AFC" w:rsidRDefault="002143D3" w:rsidP="008013EA">
            <w:pPr>
              <w:rPr>
                <w:spacing w:val="-2"/>
              </w:rPr>
            </w:pPr>
            <w:r w:rsidRPr="00345AFC">
              <w:rPr>
                <w:spacing w:val="-2"/>
              </w:rPr>
              <w:t>B</w:t>
            </w:r>
            <w:r w:rsidR="00995149" w:rsidRPr="00345AFC">
              <w:rPr>
                <w:spacing w:val="-2"/>
              </w:rPr>
              <w:t>rak</w:t>
            </w:r>
          </w:p>
        </w:tc>
      </w:tr>
      <w:tr w:rsidR="00995149" w:rsidRPr="00345AFC" w14:paraId="08D4D7FD" w14:textId="77777777" w:rsidTr="00EA2221">
        <w:trPr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741EBB8B" w14:textId="77777777" w:rsidR="00995149" w:rsidRPr="00345AFC" w:rsidRDefault="00995149" w:rsidP="008013EA"/>
        </w:tc>
        <w:tc>
          <w:tcPr>
            <w:tcW w:w="2293" w:type="dxa"/>
            <w:gridSpan w:val="6"/>
            <w:shd w:val="clear" w:color="auto" w:fill="FFFFFF"/>
          </w:tcPr>
          <w:p w14:paraId="5A0DB17D" w14:textId="77777777" w:rsidR="00995149" w:rsidRPr="00345AFC" w:rsidRDefault="00995149" w:rsidP="008013EA">
            <w:r w:rsidRPr="00345AFC">
              <w:t>sektor mikro-, małych i średnich przedsiębiorstw</w:t>
            </w:r>
          </w:p>
        </w:tc>
        <w:tc>
          <w:tcPr>
            <w:tcW w:w="6972" w:type="dxa"/>
            <w:gridSpan w:val="22"/>
            <w:shd w:val="clear" w:color="auto" w:fill="FFFFFF"/>
          </w:tcPr>
          <w:p w14:paraId="5A5EFB20" w14:textId="77777777" w:rsidR="00995149" w:rsidRPr="00345AFC" w:rsidRDefault="002143D3" w:rsidP="008013EA">
            <w:pPr>
              <w:rPr>
                <w:spacing w:val="-2"/>
              </w:rPr>
            </w:pPr>
            <w:r w:rsidRPr="00345AFC">
              <w:rPr>
                <w:spacing w:val="-2"/>
              </w:rPr>
              <w:t>B</w:t>
            </w:r>
            <w:r w:rsidR="00995149" w:rsidRPr="00345AFC">
              <w:rPr>
                <w:spacing w:val="-2"/>
              </w:rPr>
              <w:t>rak</w:t>
            </w:r>
          </w:p>
        </w:tc>
      </w:tr>
      <w:tr w:rsidR="00995149" w:rsidRPr="00345AFC" w14:paraId="21792F45" w14:textId="77777777" w:rsidTr="00EA2221">
        <w:trPr>
          <w:trHeight w:val="596"/>
          <w:jc w:val="center"/>
        </w:trPr>
        <w:tc>
          <w:tcPr>
            <w:tcW w:w="1596" w:type="dxa"/>
            <w:vMerge/>
            <w:shd w:val="clear" w:color="auto" w:fill="FFFFFF"/>
          </w:tcPr>
          <w:p w14:paraId="686EC4D2" w14:textId="77777777" w:rsidR="00995149" w:rsidRPr="00345AFC" w:rsidRDefault="00995149" w:rsidP="008013EA"/>
        </w:tc>
        <w:tc>
          <w:tcPr>
            <w:tcW w:w="2293" w:type="dxa"/>
            <w:gridSpan w:val="6"/>
            <w:shd w:val="clear" w:color="auto" w:fill="FFFFFF"/>
          </w:tcPr>
          <w:p w14:paraId="7C81AA2A" w14:textId="77777777" w:rsidR="00995149" w:rsidRPr="00345AFC" w:rsidRDefault="00995149" w:rsidP="008013EA">
            <w:pPr>
              <w:tabs>
                <w:tab w:val="right" w:pos="1936"/>
              </w:tabs>
            </w:pPr>
            <w:r w:rsidRPr="00345AFC">
              <w:t xml:space="preserve">rodzina, obywatele oraz gospodarstwa domowe </w:t>
            </w:r>
          </w:p>
        </w:tc>
        <w:tc>
          <w:tcPr>
            <w:tcW w:w="6972" w:type="dxa"/>
            <w:gridSpan w:val="22"/>
            <w:shd w:val="clear" w:color="auto" w:fill="FFFFFF"/>
          </w:tcPr>
          <w:p w14:paraId="156A1375" w14:textId="77777777" w:rsidR="00995149" w:rsidRPr="00345AFC" w:rsidRDefault="00995149" w:rsidP="008B422C">
            <w:pPr>
              <w:rPr>
                <w:spacing w:val="-2"/>
              </w:rPr>
            </w:pPr>
          </w:p>
        </w:tc>
      </w:tr>
      <w:tr w:rsidR="00123BE1" w:rsidRPr="00345AFC" w14:paraId="5536D321" w14:textId="77777777" w:rsidTr="001977E9">
        <w:trPr>
          <w:trHeight w:val="142"/>
          <w:jc w:val="center"/>
        </w:trPr>
        <w:tc>
          <w:tcPr>
            <w:tcW w:w="1596" w:type="dxa"/>
            <w:shd w:val="clear" w:color="auto" w:fill="FFFFFF"/>
          </w:tcPr>
          <w:p w14:paraId="411733A5" w14:textId="77777777" w:rsidR="00123BE1" w:rsidRPr="00345AFC" w:rsidRDefault="00123BE1" w:rsidP="008013EA">
            <w:r w:rsidRPr="00345AFC">
              <w:t>Niemierzalne</w:t>
            </w:r>
          </w:p>
        </w:tc>
        <w:tc>
          <w:tcPr>
            <w:tcW w:w="9265" w:type="dxa"/>
            <w:gridSpan w:val="28"/>
            <w:shd w:val="clear" w:color="auto" w:fill="FFFFFF"/>
          </w:tcPr>
          <w:p w14:paraId="32252905" w14:textId="750901CE" w:rsidR="00123BE1" w:rsidRDefault="00AB4B47" w:rsidP="00AA16E3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Rozporządzenie</w:t>
            </w:r>
            <w:r w:rsidR="00123BE1">
              <w:rPr>
                <w:spacing w:val="-2"/>
              </w:rPr>
              <w:t xml:space="preserve"> będzie miał</w:t>
            </w:r>
            <w:r>
              <w:rPr>
                <w:spacing w:val="-2"/>
              </w:rPr>
              <w:t>o</w:t>
            </w:r>
            <w:r w:rsidR="00123BE1">
              <w:rPr>
                <w:spacing w:val="-2"/>
              </w:rPr>
              <w:t xml:space="preserve"> wpływ na edukację </w:t>
            </w:r>
            <w:r w:rsidR="00D84E1E">
              <w:rPr>
                <w:spacing w:val="-2"/>
              </w:rPr>
              <w:t xml:space="preserve">uczniów kształcących się w branżowych szkołach </w:t>
            </w:r>
            <w:r>
              <w:rPr>
                <w:spacing w:val="-2"/>
              </w:rPr>
              <w:t xml:space="preserve">I stopnia </w:t>
            </w:r>
            <w:r w:rsidR="00D84E1E">
              <w:rPr>
                <w:spacing w:val="-2"/>
              </w:rPr>
              <w:t xml:space="preserve">oraz </w:t>
            </w:r>
            <w:r>
              <w:rPr>
                <w:spacing w:val="-2"/>
              </w:rPr>
              <w:t xml:space="preserve">w </w:t>
            </w:r>
            <w:r w:rsidR="00D84E1E">
              <w:rPr>
                <w:spacing w:val="-2"/>
              </w:rPr>
              <w:t>szkołach policealnych.</w:t>
            </w:r>
          </w:p>
          <w:p w14:paraId="56A363C1" w14:textId="759725A2" w:rsidR="00123BE1" w:rsidRPr="00345AFC" w:rsidRDefault="00AB4B47" w:rsidP="00D84E1E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Rozporządzenie </w:t>
            </w:r>
            <w:r w:rsidR="00123BE1">
              <w:rPr>
                <w:spacing w:val="-2"/>
              </w:rPr>
              <w:t>będzie miał</w:t>
            </w:r>
            <w:r>
              <w:rPr>
                <w:spacing w:val="-2"/>
              </w:rPr>
              <w:t>o</w:t>
            </w:r>
            <w:r w:rsidR="00123BE1">
              <w:rPr>
                <w:spacing w:val="-2"/>
              </w:rPr>
              <w:t xml:space="preserve"> również wpływ na wydawców</w:t>
            </w:r>
            <w:r w:rsidR="00D84E1E">
              <w:rPr>
                <w:spacing w:val="-2"/>
              </w:rPr>
              <w:t xml:space="preserve"> przygotowujących podręczniki do kształcenia </w:t>
            </w:r>
            <w:r w:rsidR="00EC59D8">
              <w:rPr>
                <w:spacing w:val="-2"/>
              </w:rPr>
              <w:t>ogólnego dla uczniów branżowych szkół</w:t>
            </w:r>
            <w:r>
              <w:rPr>
                <w:spacing w:val="-2"/>
              </w:rPr>
              <w:t xml:space="preserve"> I stopnia</w:t>
            </w:r>
            <w:r w:rsidR="00EC59D8">
              <w:rPr>
                <w:spacing w:val="-2"/>
              </w:rPr>
              <w:t>.</w:t>
            </w:r>
            <w:r w:rsidR="00123BE1">
              <w:rPr>
                <w:spacing w:val="-2"/>
              </w:rPr>
              <w:t xml:space="preserve">  </w:t>
            </w:r>
          </w:p>
        </w:tc>
      </w:tr>
      <w:tr w:rsidR="00995149" w:rsidRPr="00345AFC" w14:paraId="41364863" w14:textId="77777777" w:rsidTr="00DB3861">
        <w:trPr>
          <w:trHeight w:val="1337"/>
          <w:jc w:val="center"/>
        </w:trPr>
        <w:tc>
          <w:tcPr>
            <w:tcW w:w="1604" w:type="dxa"/>
            <w:gridSpan w:val="2"/>
            <w:shd w:val="clear" w:color="auto" w:fill="FFFFFF"/>
          </w:tcPr>
          <w:p w14:paraId="334E8808" w14:textId="77777777" w:rsidR="00995149" w:rsidRPr="00345AFC" w:rsidRDefault="00995149" w:rsidP="008013EA">
            <w:r w:rsidRPr="00345AFC">
              <w:t xml:space="preserve">Dodatkowe informacje, w tym wskazanie źródeł danych i przyjętych </w:t>
            </w:r>
            <w:r w:rsidR="0063022F">
              <w:t>do obliczeń założeń</w:t>
            </w:r>
          </w:p>
        </w:tc>
        <w:tc>
          <w:tcPr>
            <w:tcW w:w="9257" w:type="dxa"/>
            <w:gridSpan w:val="27"/>
            <w:shd w:val="clear" w:color="auto" w:fill="FFFFFF"/>
            <w:vAlign w:val="center"/>
          </w:tcPr>
          <w:p w14:paraId="66C57C16" w14:textId="77777777" w:rsidR="00995149" w:rsidRPr="00345AFC" w:rsidRDefault="00995149" w:rsidP="008013EA">
            <w:pPr>
              <w:jc w:val="both"/>
            </w:pPr>
          </w:p>
        </w:tc>
      </w:tr>
      <w:tr w:rsidR="00995149" w:rsidRPr="00345AFC" w14:paraId="0BE16F35" w14:textId="77777777" w:rsidTr="00EA2221">
        <w:trPr>
          <w:trHeight w:val="342"/>
          <w:jc w:val="center"/>
        </w:trPr>
        <w:tc>
          <w:tcPr>
            <w:tcW w:w="10861" w:type="dxa"/>
            <w:gridSpan w:val="29"/>
            <w:shd w:val="clear" w:color="auto" w:fill="99CCFF"/>
            <w:vAlign w:val="center"/>
          </w:tcPr>
          <w:p w14:paraId="5A83C31F" w14:textId="77777777" w:rsidR="00995149" w:rsidRPr="00345AFC" w:rsidRDefault="00995149" w:rsidP="008013EA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b/>
              </w:rPr>
            </w:pPr>
            <w:r w:rsidRPr="00345AFC">
              <w:rPr>
                <w:b/>
              </w:rPr>
              <w:t xml:space="preserve"> Zmiana obciążeń regulacyjnych (w tym obowiązków informacyjnych) wynikających z </w:t>
            </w:r>
            <w:r w:rsidR="00D369D4" w:rsidRPr="00345AFC">
              <w:rPr>
                <w:b/>
              </w:rPr>
              <w:t xml:space="preserve">rozporządzenia </w:t>
            </w:r>
          </w:p>
        </w:tc>
      </w:tr>
      <w:tr w:rsidR="00995149" w:rsidRPr="00345AFC" w14:paraId="13DCEAAA" w14:textId="77777777" w:rsidTr="00EA2221">
        <w:trPr>
          <w:trHeight w:val="151"/>
          <w:jc w:val="center"/>
        </w:trPr>
        <w:tc>
          <w:tcPr>
            <w:tcW w:w="10861" w:type="dxa"/>
            <w:gridSpan w:val="29"/>
            <w:shd w:val="clear" w:color="auto" w:fill="FFFFFF"/>
          </w:tcPr>
          <w:p w14:paraId="6273E9CB" w14:textId="77777777" w:rsidR="00995149" w:rsidRPr="00345AFC" w:rsidRDefault="00995149" w:rsidP="008013EA">
            <w:r w:rsidRPr="00345A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</w:t>
            </w:r>
            <w:r w:rsidRPr="00345AFC">
              <w:rPr>
                <w:spacing w:val="-2"/>
              </w:rPr>
              <w:t>nie dotyczy</w:t>
            </w:r>
          </w:p>
        </w:tc>
      </w:tr>
      <w:tr w:rsidR="00995149" w:rsidRPr="00345AFC" w14:paraId="4D818CC7" w14:textId="77777777" w:rsidTr="00EA2221">
        <w:trPr>
          <w:trHeight w:val="946"/>
          <w:jc w:val="center"/>
        </w:trPr>
        <w:tc>
          <w:tcPr>
            <w:tcW w:w="5111" w:type="dxa"/>
            <w:gridSpan w:val="12"/>
            <w:shd w:val="clear" w:color="auto" w:fill="FFFFFF"/>
          </w:tcPr>
          <w:p w14:paraId="1D232E0A" w14:textId="77777777" w:rsidR="00995149" w:rsidRPr="00345AFC" w:rsidRDefault="00995149" w:rsidP="008013EA">
            <w:pPr>
              <w:rPr>
                <w:spacing w:val="-2"/>
              </w:rPr>
            </w:pPr>
            <w:r w:rsidRPr="00345AFC">
              <w:rPr>
                <w:spacing w:val="-2"/>
              </w:rPr>
              <w:t xml:space="preserve">Wprowadzane są obciążenia poza bezwzględnie wymaganymi przez UE </w:t>
            </w:r>
            <w:r w:rsidRPr="00345AFC">
              <w:t>(szczegóły w odwróconej tabeli zgodności).</w:t>
            </w:r>
          </w:p>
        </w:tc>
        <w:tc>
          <w:tcPr>
            <w:tcW w:w="5750" w:type="dxa"/>
            <w:gridSpan w:val="17"/>
            <w:shd w:val="clear" w:color="auto" w:fill="FFFFFF"/>
          </w:tcPr>
          <w:p w14:paraId="69A9E489" w14:textId="77777777" w:rsidR="00995149" w:rsidRPr="00345AFC" w:rsidRDefault="00995149" w:rsidP="008013EA">
            <w:r w:rsidRPr="00345AFC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tak</w:t>
            </w:r>
          </w:p>
          <w:p w14:paraId="35B150BC" w14:textId="77777777" w:rsidR="00995149" w:rsidRPr="00345AFC" w:rsidRDefault="00995149" w:rsidP="008013EA">
            <w:r w:rsidRPr="00345AFC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nie</w:t>
            </w:r>
          </w:p>
          <w:p w14:paraId="6E730486" w14:textId="77777777" w:rsidR="00995149" w:rsidRPr="00345AFC" w:rsidRDefault="00123BE1" w:rsidP="00123BE1">
            <w:r w:rsidRPr="00345A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="00995149" w:rsidRPr="00345AFC">
              <w:t>nie dotyczy</w:t>
            </w:r>
          </w:p>
        </w:tc>
      </w:tr>
      <w:tr w:rsidR="00995149" w:rsidRPr="00345AFC" w14:paraId="22056C5C" w14:textId="77777777" w:rsidTr="00EA2221">
        <w:trPr>
          <w:trHeight w:val="1245"/>
          <w:jc w:val="center"/>
        </w:trPr>
        <w:tc>
          <w:tcPr>
            <w:tcW w:w="5111" w:type="dxa"/>
            <w:gridSpan w:val="12"/>
            <w:shd w:val="clear" w:color="auto" w:fill="FFFFFF"/>
          </w:tcPr>
          <w:p w14:paraId="7E02911F" w14:textId="77777777" w:rsidR="00995149" w:rsidRPr="00345AFC" w:rsidRDefault="0059767A" w:rsidP="008013EA">
            <w:pPr>
              <w:rPr>
                <w:spacing w:val="-2"/>
              </w:rPr>
            </w:pPr>
            <w:r w:rsidRPr="00345AFC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="00995149" w:rsidRPr="00345AFC">
              <w:rPr>
                <w:spacing w:val="-2"/>
              </w:rPr>
              <w:t xml:space="preserve">zmniejszenie liczby dokumentów </w:t>
            </w:r>
          </w:p>
          <w:p w14:paraId="43864281" w14:textId="77777777" w:rsidR="00995149" w:rsidRPr="00345AFC" w:rsidRDefault="00995149" w:rsidP="008013EA">
            <w:pPr>
              <w:rPr>
                <w:spacing w:val="-2"/>
              </w:rPr>
            </w:pPr>
            <w:r w:rsidRPr="00345AFC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</w:t>
            </w:r>
            <w:r w:rsidRPr="00345AFC">
              <w:rPr>
                <w:spacing w:val="-2"/>
              </w:rPr>
              <w:t>zmniejszenie liczby procedur</w:t>
            </w:r>
          </w:p>
          <w:p w14:paraId="10B22C9A" w14:textId="77777777" w:rsidR="00995149" w:rsidRPr="00345AFC" w:rsidRDefault="00995149" w:rsidP="008013EA">
            <w:pPr>
              <w:rPr>
                <w:spacing w:val="-2"/>
              </w:rPr>
            </w:pPr>
            <w:r w:rsidRPr="00345A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</w:t>
            </w:r>
            <w:r w:rsidRPr="00345AFC">
              <w:rPr>
                <w:spacing w:val="-2"/>
              </w:rPr>
              <w:t>skrócenie czasu na załatwienie sprawy</w:t>
            </w:r>
          </w:p>
          <w:p w14:paraId="1E65CC57" w14:textId="77777777" w:rsidR="00995149" w:rsidRPr="00345AFC" w:rsidRDefault="00995149" w:rsidP="008013EA">
            <w:pPr>
              <w:rPr>
                <w:b/>
                <w:spacing w:val="-2"/>
              </w:rPr>
            </w:pPr>
            <w:r w:rsidRPr="00345AFC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</w:t>
            </w:r>
            <w:r w:rsidRPr="00345AFC">
              <w:rPr>
                <w:spacing w:val="-2"/>
              </w:rPr>
              <w:t>inne:</w:t>
            </w:r>
            <w:r w:rsidRPr="00345AFC">
              <w:t xml:space="preserve"> </w:t>
            </w:r>
            <w:r w:rsidRPr="00345AFC"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345AFC">
              <w:instrText xml:space="preserve"> FORMTEXT </w:instrText>
            </w:r>
            <w:r w:rsidRPr="00345AFC">
              <w:fldChar w:fldCharType="separate"/>
            </w:r>
            <w:r w:rsidRPr="00345AFC">
              <w:rPr>
                <w:noProof/>
              </w:rPr>
              <w:t> </w:t>
            </w:r>
            <w:r w:rsidRPr="00345AFC">
              <w:rPr>
                <w:noProof/>
              </w:rPr>
              <w:t> </w:t>
            </w:r>
            <w:r w:rsidRPr="00345AFC">
              <w:rPr>
                <w:noProof/>
              </w:rPr>
              <w:t> </w:t>
            </w:r>
            <w:r w:rsidRPr="00345AFC">
              <w:rPr>
                <w:noProof/>
              </w:rPr>
              <w:t> </w:t>
            </w:r>
            <w:r w:rsidRPr="00345AFC">
              <w:rPr>
                <w:noProof/>
              </w:rPr>
              <w:t> </w:t>
            </w:r>
            <w:r w:rsidRPr="00345AFC">
              <w:fldChar w:fldCharType="end"/>
            </w:r>
          </w:p>
        </w:tc>
        <w:tc>
          <w:tcPr>
            <w:tcW w:w="5750" w:type="dxa"/>
            <w:gridSpan w:val="17"/>
            <w:shd w:val="clear" w:color="auto" w:fill="FFFFFF"/>
          </w:tcPr>
          <w:p w14:paraId="425CE884" w14:textId="77777777" w:rsidR="00995149" w:rsidRPr="00345AFC" w:rsidRDefault="00995149" w:rsidP="008013EA">
            <w:pPr>
              <w:rPr>
                <w:spacing w:val="-2"/>
              </w:rPr>
            </w:pPr>
            <w:r w:rsidRPr="00345AFC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</w:t>
            </w:r>
            <w:r w:rsidRPr="00345AFC">
              <w:rPr>
                <w:spacing w:val="-2"/>
              </w:rPr>
              <w:t>zwiększenie liczby dokumentów</w:t>
            </w:r>
          </w:p>
          <w:p w14:paraId="0150F1AA" w14:textId="77777777" w:rsidR="00995149" w:rsidRPr="00345AFC" w:rsidRDefault="00995149" w:rsidP="008013EA">
            <w:pPr>
              <w:rPr>
                <w:spacing w:val="-2"/>
              </w:rPr>
            </w:pPr>
            <w:r w:rsidRPr="00345AFC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</w:t>
            </w:r>
            <w:r w:rsidRPr="00345AFC">
              <w:rPr>
                <w:spacing w:val="-2"/>
              </w:rPr>
              <w:t>zwiększenie liczby procedur</w:t>
            </w:r>
          </w:p>
          <w:p w14:paraId="1953B4D7" w14:textId="77777777" w:rsidR="00995149" w:rsidRPr="00345AFC" w:rsidRDefault="00995149" w:rsidP="008013EA">
            <w:pPr>
              <w:rPr>
                <w:spacing w:val="-2"/>
              </w:rPr>
            </w:pPr>
            <w:r w:rsidRPr="00345AFC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</w:t>
            </w:r>
            <w:r w:rsidRPr="00345AFC">
              <w:rPr>
                <w:spacing w:val="-2"/>
              </w:rPr>
              <w:t>wydłużenie czasu na załatwienie sprawy</w:t>
            </w:r>
          </w:p>
          <w:p w14:paraId="3B4D6AC8" w14:textId="77777777" w:rsidR="00995149" w:rsidRPr="00345AFC" w:rsidRDefault="00995149" w:rsidP="008013EA">
            <w:r w:rsidRPr="00345AFC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</w:t>
            </w:r>
            <w:r w:rsidRPr="00345AFC">
              <w:rPr>
                <w:spacing w:val="-2"/>
              </w:rPr>
              <w:t>inne:</w:t>
            </w:r>
            <w:r w:rsidRPr="00345AFC">
              <w:t xml:space="preserve"> </w:t>
            </w:r>
            <w:r w:rsidRPr="00345AFC"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345AFC">
              <w:instrText xml:space="preserve"> FORMTEXT </w:instrText>
            </w:r>
            <w:r w:rsidRPr="00345AFC">
              <w:fldChar w:fldCharType="separate"/>
            </w:r>
            <w:r w:rsidRPr="00345AFC">
              <w:rPr>
                <w:noProof/>
              </w:rPr>
              <w:t> </w:t>
            </w:r>
            <w:r w:rsidRPr="00345AFC">
              <w:rPr>
                <w:noProof/>
              </w:rPr>
              <w:t> </w:t>
            </w:r>
            <w:r w:rsidRPr="00345AFC">
              <w:rPr>
                <w:noProof/>
              </w:rPr>
              <w:t> </w:t>
            </w:r>
            <w:r w:rsidRPr="00345AFC">
              <w:rPr>
                <w:noProof/>
              </w:rPr>
              <w:t> </w:t>
            </w:r>
            <w:r w:rsidRPr="00345AFC">
              <w:rPr>
                <w:noProof/>
              </w:rPr>
              <w:t> </w:t>
            </w:r>
            <w:r w:rsidRPr="00345AFC">
              <w:fldChar w:fldCharType="end"/>
            </w:r>
          </w:p>
          <w:p w14:paraId="2406555C" w14:textId="77777777" w:rsidR="00995149" w:rsidRPr="00345AFC" w:rsidRDefault="00995149" w:rsidP="008013EA"/>
        </w:tc>
      </w:tr>
      <w:tr w:rsidR="00995149" w:rsidRPr="00345AFC" w14:paraId="35C6F185" w14:textId="77777777" w:rsidTr="00EA2221">
        <w:trPr>
          <w:trHeight w:val="917"/>
          <w:jc w:val="center"/>
        </w:trPr>
        <w:tc>
          <w:tcPr>
            <w:tcW w:w="5111" w:type="dxa"/>
            <w:gridSpan w:val="12"/>
            <w:shd w:val="clear" w:color="auto" w:fill="FFFFFF"/>
          </w:tcPr>
          <w:p w14:paraId="451AD944" w14:textId="77777777" w:rsidR="00995149" w:rsidRPr="00345AFC" w:rsidRDefault="00995149" w:rsidP="008013EA">
            <w:r w:rsidRPr="00345AFC">
              <w:rPr>
                <w:spacing w:val="-2"/>
              </w:rPr>
              <w:lastRenderedPageBreak/>
              <w:t xml:space="preserve">Wprowadzane obciążenia są przystosowane do ich elektronizacji. </w:t>
            </w:r>
          </w:p>
        </w:tc>
        <w:tc>
          <w:tcPr>
            <w:tcW w:w="5750" w:type="dxa"/>
            <w:gridSpan w:val="17"/>
            <w:shd w:val="clear" w:color="auto" w:fill="FFFFFF"/>
          </w:tcPr>
          <w:p w14:paraId="320DE95C" w14:textId="77777777" w:rsidR="00995149" w:rsidRPr="00345AFC" w:rsidRDefault="00995149" w:rsidP="008013EA">
            <w:r w:rsidRPr="00345AFC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tak</w:t>
            </w:r>
          </w:p>
          <w:p w14:paraId="5ABE383A" w14:textId="77777777" w:rsidR="00995149" w:rsidRPr="00345AFC" w:rsidRDefault="00995149" w:rsidP="008013EA">
            <w:r w:rsidRPr="00345AFC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nie</w:t>
            </w:r>
          </w:p>
          <w:p w14:paraId="4E7FDFB0" w14:textId="77777777" w:rsidR="00995149" w:rsidRPr="00345AFC" w:rsidRDefault="004F40F2" w:rsidP="008013EA">
            <w:r w:rsidRPr="00345AFC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="00995149" w:rsidRPr="00345AFC">
              <w:t xml:space="preserve"> nie dotyczy</w:t>
            </w:r>
          </w:p>
          <w:p w14:paraId="1AB53BE1" w14:textId="77777777" w:rsidR="00995149" w:rsidRPr="00345AFC" w:rsidRDefault="00995149" w:rsidP="008013EA"/>
        </w:tc>
      </w:tr>
      <w:tr w:rsidR="00995149" w:rsidRPr="00345AFC" w14:paraId="2E94E5BC" w14:textId="77777777" w:rsidTr="00EA2221">
        <w:trPr>
          <w:trHeight w:val="366"/>
          <w:jc w:val="center"/>
        </w:trPr>
        <w:tc>
          <w:tcPr>
            <w:tcW w:w="10861" w:type="dxa"/>
            <w:gridSpan w:val="29"/>
            <w:shd w:val="clear" w:color="auto" w:fill="FFFFFF"/>
          </w:tcPr>
          <w:p w14:paraId="2C2C396F" w14:textId="77777777" w:rsidR="00995149" w:rsidRPr="00345AFC" w:rsidRDefault="00995149" w:rsidP="008013EA">
            <w:pPr>
              <w:jc w:val="both"/>
            </w:pPr>
            <w:r w:rsidRPr="00345AFC">
              <w:t>Komentarz:</w:t>
            </w:r>
            <w:r w:rsidR="00291412" w:rsidRPr="00345AFC">
              <w:t xml:space="preserve"> </w:t>
            </w:r>
          </w:p>
          <w:p w14:paraId="37A4210E" w14:textId="77777777" w:rsidR="00995149" w:rsidRPr="00345AFC" w:rsidRDefault="00995149" w:rsidP="008013EA">
            <w:pPr>
              <w:jc w:val="both"/>
            </w:pPr>
          </w:p>
        </w:tc>
      </w:tr>
      <w:tr w:rsidR="00995149" w:rsidRPr="00345AFC" w14:paraId="6B51A5D3" w14:textId="77777777" w:rsidTr="00EA2221">
        <w:trPr>
          <w:trHeight w:val="142"/>
          <w:jc w:val="center"/>
        </w:trPr>
        <w:tc>
          <w:tcPr>
            <w:tcW w:w="10861" w:type="dxa"/>
            <w:gridSpan w:val="29"/>
            <w:shd w:val="clear" w:color="auto" w:fill="99CCFF"/>
          </w:tcPr>
          <w:p w14:paraId="213E3A5C" w14:textId="77777777" w:rsidR="00995149" w:rsidRPr="00345AFC" w:rsidRDefault="00995149" w:rsidP="008013EA">
            <w:pPr>
              <w:numPr>
                <w:ilvl w:val="0"/>
                <w:numId w:val="1"/>
              </w:numPr>
              <w:spacing w:before="60" w:after="60"/>
              <w:jc w:val="both"/>
              <w:rPr>
                <w:b/>
              </w:rPr>
            </w:pPr>
            <w:r w:rsidRPr="00345AFC">
              <w:rPr>
                <w:b/>
              </w:rPr>
              <w:t xml:space="preserve">Wpływ na rynek pracy </w:t>
            </w:r>
          </w:p>
        </w:tc>
      </w:tr>
      <w:tr w:rsidR="00995149" w:rsidRPr="00345AFC" w14:paraId="3B222001" w14:textId="77777777" w:rsidTr="00EA2221">
        <w:trPr>
          <w:trHeight w:val="142"/>
          <w:jc w:val="center"/>
        </w:trPr>
        <w:tc>
          <w:tcPr>
            <w:tcW w:w="10861" w:type="dxa"/>
            <w:gridSpan w:val="29"/>
            <w:shd w:val="clear" w:color="auto" w:fill="auto"/>
          </w:tcPr>
          <w:p w14:paraId="365377A7" w14:textId="021E657F" w:rsidR="00995149" w:rsidRPr="008D6598" w:rsidRDefault="00AB4B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D6598">
              <w:rPr>
                <w:color w:val="000000"/>
              </w:rPr>
              <w:t>ozporządzenie nie będzie miało bezpośredniego wpływu na rynek pracy. Jednakże ocenia się, iż pośrednio zmiany w podstawie programowej, w szczególności</w:t>
            </w:r>
            <w:r w:rsidR="008D6598">
              <w:rPr>
                <w:rFonts w:eastAsia="Arial"/>
              </w:rPr>
              <w:t xml:space="preserve"> wprowadzenie nauki programowania oraz szersze uwzględnienie w podstawie programowej poszczególnych przedmiotów technologii informacyjno-komunikacyjnych</w:t>
            </w:r>
            <w:r w:rsidR="008D6598">
              <w:rPr>
                <w:color w:val="000000"/>
              </w:rPr>
              <w:t>, przyczynią się do lepszego dostosowania kształcenia do potrzeb rynku pracy.</w:t>
            </w:r>
          </w:p>
        </w:tc>
      </w:tr>
      <w:tr w:rsidR="00995149" w:rsidRPr="00345AFC" w14:paraId="5A69F162" w14:textId="77777777" w:rsidTr="00EA2221">
        <w:trPr>
          <w:trHeight w:val="142"/>
          <w:jc w:val="center"/>
        </w:trPr>
        <w:tc>
          <w:tcPr>
            <w:tcW w:w="10861" w:type="dxa"/>
            <w:gridSpan w:val="29"/>
            <w:shd w:val="clear" w:color="auto" w:fill="99CCFF"/>
          </w:tcPr>
          <w:p w14:paraId="27329424" w14:textId="77777777" w:rsidR="00995149" w:rsidRPr="00345AFC" w:rsidRDefault="00995149" w:rsidP="008013EA">
            <w:pPr>
              <w:numPr>
                <w:ilvl w:val="0"/>
                <w:numId w:val="1"/>
              </w:numPr>
              <w:spacing w:before="60" w:after="60"/>
              <w:jc w:val="both"/>
              <w:rPr>
                <w:b/>
              </w:rPr>
            </w:pPr>
            <w:r w:rsidRPr="00345AFC">
              <w:rPr>
                <w:b/>
              </w:rPr>
              <w:t>Wpływ na pozostałe obszary</w:t>
            </w:r>
          </w:p>
        </w:tc>
      </w:tr>
      <w:tr w:rsidR="00995149" w:rsidRPr="00345AFC" w14:paraId="03FE75D7" w14:textId="77777777" w:rsidTr="00EA2221">
        <w:trPr>
          <w:trHeight w:val="1031"/>
          <w:jc w:val="center"/>
        </w:trPr>
        <w:tc>
          <w:tcPr>
            <w:tcW w:w="3547" w:type="dxa"/>
            <w:gridSpan w:val="5"/>
            <w:shd w:val="clear" w:color="auto" w:fill="FFFFFF"/>
          </w:tcPr>
          <w:p w14:paraId="2D5E214F" w14:textId="77777777" w:rsidR="00995149" w:rsidRPr="00345AFC" w:rsidRDefault="00995149" w:rsidP="008013EA"/>
          <w:p w14:paraId="0F308BF9" w14:textId="77777777" w:rsidR="00995149" w:rsidRPr="00345AFC" w:rsidRDefault="00995149" w:rsidP="008013EA">
            <w:pPr>
              <w:rPr>
                <w:spacing w:val="-2"/>
              </w:rPr>
            </w:pPr>
            <w:r w:rsidRPr="00345AFC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</w:t>
            </w:r>
            <w:r w:rsidRPr="00345AFC">
              <w:rPr>
                <w:spacing w:val="-2"/>
              </w:rPr>
              <w:t>środowisko naturalne</w:t>
            </w:r>
          </w:p>
          <w:p w14:paraId="547692BE" w14:textId="77777777" w:rsidR="00995149" w:rsidRPr="00345AFC" w:rsidRDefault="00995149" w:rsidP="008013EA">
            <w:r w:rsidRPr="00345A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sytuacja i rozwój regionalny</w:t>
            </w:r>
          </w:p>
          <w:p w14:paraId="63E86135" w14:textId="77777777" w:rsidR="00995149" w:rsidRPr="00345AFC" w:rsidRDefault="0059767A" w:rsidP="008013EA">
            <w:pPr>
              <w:rPr>
                <w:spacing w:val="-2"/>
              </w:rPr>
            </w:pPr>
            <w:r w:rsidRPr="00345AFC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="00995149" w:rsidRPr="00345AFC">
              <w:rPr>
                <w:spacing w:val="-2"/>
              </w:rPr>
              <w:t xml:space="preserve">inne: </w:t>
            </w:r>
            <w:r w:rsidR="00995149" w:rsidRPr="00345AFC"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995149" w:rsidRPr="00345AFC">
              <w:instrText xml:space="preserve"> FORMTEXT </w:instrText>
            </w:r>
            <w:r w:rsidR="00995149" w:rsidRPr="00345AFC">
              <w:fldChar w:fldCharType="separate"/>
            </w:r>
            <w:r w:rsidR="00995149" w:rsidRPr="00345AFC">
              <w:rPr>
                <w:noProof/>
              </w:rPr>
              <w:t> </w:t>
            </w:r>
            <w:r w:rsidR="00995149" w:rsidRPr="00345AFC">
              <w:rPr>
                <w:noProof/>
              </w:rPr>
              <w:t> </w:t>
            </w:r>
            <w:r w:rsidR="00995149" w:rsidRPr="00345AFC">
              <w:rPr>
                <w:noProof/>
              </w:rPr>
              <w:t> </w:t>
            </w:r>
            <w:r w:rsidR="00995149" w:rsidRPr="00345AFC">
              <w:rPr>
                <w:noProof/>
              </w:rPr>
              <w:t> </w:t>
            </w:r>
            <w:r w:rsidR="00995149" w:rsidRPr="00345AFC">
              <w:rPr>
                <w:noProof/>
              </w:rPr>
              <w:t> </w:t>
            </w:r>
            <w:r w:rsidR="00995149" w:rsidRPr="00345AFC">
              <w:fldChar w:fldCharType="end"/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64E61474" w14:textId="77777777" w:rsidR="00995149" w:rsidRPr="00345AFC" w:rsidRDefault="00995149" w:rsidP="008013EA"/>
          <w:p w14:paraId="69AB9D0D" w14:textId="77777777" w:rsidR="00995149" w:rsidRPr="00345AFC" w:rsidRDefault="00995149" w:rsidP="008013EA">
            <w:pPr>
              <w:rPr>
                <w:spacing w:val="-2"/>
              </w:rPr>
            </w:pPr>
            <w:r w:rsidRPr="00345AFC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</w:t>
            </w:r>
            <w:r w:rsidRPr="00345AFC">
              <w:rPr>
                <w:spacing w:val="-2"/>
              </w:rPr>
              <w:t>demografia</w:t>
            </w:r>
          </w:p>
          <w:p w14:paraId="77B4DFAD" w14:textId="77777777" w:rsidR="00995149" w:rsidRPr="00345AFC" w:rsidRDefault="00995149" w:rsidP="008013EA">
            <w:r w:rsidRPr="00345AF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mienie państwowe</w:t>
            </w:r>
          </w:p>
        </w:tc>
        <w:tc>
          <w:tcPr>
            <w:tcW w:w="3627" w:type="dxa"/>
            <w:gridSpan w:val="9"/>
            <w:shd w:val="clear" w:color="auto" w:fill="FFFFFF"/>
          </w:tcPr>
          <w:p w14:paraId="70F5D586" w14:textId="77777777" w:rsidR="00995149" w:rsidRPr="00345AFC" w:rsidRDefault="00995149" w:rsidP="008013EA"/>
          <w:p w14:paraId="220D6241" w14:textId="77777777" w:rsidR="00995149" w:rsidRPr="00345AFC" w:rsidRDefault="00995149" w:rsidP="008013EA">
            <w:pPr>
              <w:rPr>
                <w:spacing w:val="-2"/>
              </w:rPr>
            </w:pPr>
            <w:r w:rsidRPr="00345AFC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</w:t>
            </w:r>
            <w:r w:rsidRPr="00345AFC">
              <w:rPr>
                <w:spacing w:val="-2"/>
              </w:rPr>
              <w:t>informatyzacja</w:t>
            </w:r>
          </w:p>
          <w:p w14:paraId="767F12BB" w14:textId="77777777" w:rsidR="00995149" w:rsidRPr="00345AFC" w:rsidRDefault="00995149" w:rsidP="008013EA">
            <w:r w:rsidRPr="00345AFC"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AFC">
              <w:instrText xml:space="preserve"> FORMCHECKBOX </w:instrText>
            </w:r>
            <w:r w:rsidR="0041321E">
              <w:fldChar w:fldCharType="separate"/>
            </w:r>
            <w:r w:rsidRPr="00345AFC">
              <w:fldChar w:fldCharType="end"/>
            </w:r>
            <w:r w:rsidRPr="00345AFC">
              <w:t xml:space="preserve"> </w:t>
            </w:r>
            <w:r w:rsidRPr="00345AFC">
              <w:rPr>
                <w:spacing w:val="-2"/>
              </w:rPr>
              <w:t>zdrowie</w:t>
            </w:r>
          </w:p>
        </w:tc>
      </w:tr>
      <w:tr w:rsidR="00995149" w:rsidRPr="00345AFC" w14:paraId="35F86D1D" w14:textId="77777777" w:rsidTr="00DB3861">
        <w:trPr>
          <w:trHeight w:val="493"/>
          <w:jc w:val="center"/>
        </w:trPr>
        <w:tc>
          <w:tcPr>
            <w:tcW w:w="1604" w:type="dxa"/>
            <w:gridSpan w:val="2"/>
            <w:shd w:val="clear" w:color="auto" w:fill="FFFFFF"/>
            <w:vAlign w:val="center"/>
          </w:tcPr>
          <w:p w14:paraId="53FB6DC7" w14:textId="77777777" w:rsidR="00995149" w:rsidRPr="00345AFC" w:rsidRDefault="00995149" w:rsidP="008013EA">
            <w:r w:rsidRPr="00345AFC">
              <w:t>Omówienie wpływu</w:t>
            </w:r>
          </w:p>
        </w:tc>
        <w:tc>
          <w:tcPr>
            <w:tcW w:w="9257" w:type="dxa"/>
            <w:gridSpan w:val="27"/>
            <w:shd w:val="clear" w:color="auto" w:fill="FFFFFF"/>
            <w:vAlign w:val="center"/>
          </w:tcPr>
          <w:p w14:paraId="6FAF5FBB" w14:textId="77777777" w:rsidR="00995149" w:rsidRPr="00345AFC" w:rsidRDefault="00123BE1" w:rsidP="008013EA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Brak bezpośredniego wpływu </w:t>
            </w:r>
          </w:p>
        </w:tc>
      </w:tr>
      <w:tr w:rsidR="00995149" w:rsidRPr="00345AFC" w14:paraId="18783D1F" w14:textId="77777777" w:rsidTr="00EA2221">
        <w:trPr>
          <w:trHeight w:val="142"/>
          <w:jc w:val="center"/>
        </w:trPr>
        <w:tc>
          <w:tcPr>
            <w:tcW w:w="10861" w:type="dxa"/>
            <w:gridSpan w:val="29"/>
            <w:shd w:val="clear" w:color="auto" w:fill="99CCFF"/>
          </w:tcPr>
          <w:p w14:paraId="167EC5D5" w14:textId="77777777" w:rsidR="00995149" w:rsidRPr="00345AFC" w:rsidRDefault="00995149" w:rsidP="008013EA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b/>
              </w:rPr>
            </w:pPr>
            <w:r w:rsidRPr="00345AFC">
              <w:rPr>
                <w:b/>
                <w:spacing w:val="-2"/>
              </w:rPr>
              <w:t>Planowane wykonanie przepisów aktu prawnego</w:t>
            </w:r>
          </w:p>
        </w:tc>
      </w:tr>
      <w:tr w:rsidR="00995149" w:rsidRPr="00345AFC" w14:paraId="019B0579" w14:textId="77777777" w:rsidTr="00EA2221">
        <w:trPr>
          <w:trHeight w:val="142"/>
          <w:jc w:val="center"/>
        </w:trPr>
        <w:tc>
          <w:tcPr>
            <w:tcW w:w="10861" w:type="dxa"/>
            <w:gridSpan w:val="29"/>
            <w:shd w:val="clear" w:color="auto" w:fill="FFFFFF"/>
          </w:tcPr>
          <w:p w14:paraId="57CD7F57" w14:textId="77777777" w:rsidR="00995149" w:rsidRPr="00A434B3" w:rsidRDefault="00146A46" w:rsidP="00EC59D8">
            <w:pPr>
              <w:pStyle w:val="ARTartustawynprozporzdzenia"/>
              <w:spacing w:line="240" w:lineRule="auto"/>
              <w:ind w:firstLine="0"/>
            </w:pPr>
            <w:r w:rsidRPr="00345AFC">
              <w:rPr>
                <w:rFonts w:ascii="Times New Roman" w:hAnsi="Times New Roman" w:cs="Times New Roman"/>
                <w:spacing w:val="-2"/>
                <w:szCs w:val="24"/>
              </w:rPr>
              <w:t xml:space="preserve">Proponuje się, aby rozporządzenie weszło w życie </w:t>
            </w:r>
            <w:r w:rsidR="00DB3861">
              <w:t>z dniem 1 września 201</w:t>
            </w:r>
            <w:r w:rsidR="00EC59D8">
              <w:t>8</w:t>
            </w:r>
            <w:r w:rsidR="00DB3861">
              <w:t xml:space="preserve"> r.</w:t>
            </w:r>
            <w:r w:rsidR="00A434B3">
              <w:t xml:space="preserve"> </w:t>
            </w:r>
            <w:r w:rsidR="00A434B3" w:rsidRPr="00AD1009">
              <w:t xml:space="preserve"> </w:t>
            </w:r>
          </w:p>
        </w:tc>
      </w:tr>
      <w:tr w:rsidR="00995149" w:rsidRPr="00345AFC" w14:paraId="7BC965CD" w14:textId="77777777" w:rsidTr="00EA2221">
        <w:trPr>
          <w:trHeight w:val="142"/>
          <w:jc w:val="center"/>
        </w:trPr>
        <w:tc>
          <w:tcPr>
            <w:tcW w:w="10861" w:type="dxa"/>
            <w:gridSpan w:val="29"/>
            <w:shd w:val="clear" w:color="auto" w:fill="99CCFF"/>
          </w:tcPr>
          <w:p w14:paraId="332DB6C5" w14:textId="77777777" w:rsidR="00995149" w:rsidRPr="00345AFC" w:rsidRDefault="00995149" w:rsidP="008013EA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b/>
              </w:rPr>
            </w:pPr>
            <w:r w:rsidRPr="00345AFC">
              <w:rPr>
                <w:b/>
              </w:rPr>
              <w:t xml:space="preserve"> </w:t>
            </w:r>
            <w:r w:rsidRPr="00345AFC">
              <w:rPr>
                <w:b/>
                <w:spacing w:val="-2"/>
              </w:rPr>
              <w:t xml:space="preserve">W jaki sposób i kiedy nastąpi ewaluacja efektów </w:t>
            </w:r>
            <w:r w:rsidR="00D369D4" w:rsidRPr="00345AFC">
              <w:rPr>
                <w:b/>
                <w:spacing w:val="-2"/>
              </w:rPr>
              <w:t>rozporządzenia</w:t>
            </w:r>
            <w:r w:rsidRPr="00345AFC">
              <w:rPr>
                <w:b/>
                <w:spacing w:val="-2"/>
              </w:rPr>
              <w:t xml:space="preserve"> oraz jakie mierniki zostaną zastosowane?</w:t>
            </w:r>
          </w:p>
        </w:tc>
      </w:tr>
      <w:tr w:rsidR="00995149" w:rsidRPr="00345AFC" w14:paraId="324ABC3C" w14:textId="77777777" w:rsidTr="00EA2221">
        <w:trPr>
          <w:trHeight w:val="142"/>
          <w:jc w:val="center"/>
        </w:trPr>
        <w:tc>
          <w:tcPr>
            <w:tcW w:w="10861" w:type="dxa"/>
            <w:gridSpan w:val="29"/>
            <w:shd w:val="clear" w:color="auto" w:fill="FFFFFF"/>
          </w:tcPr>
          <w:p w14:paraId="785364B0" w14:textId="77777777" w:rsidR="00995149" w:rsidRPr="00345AFC" w:rsidRDefault="000A3845" w:rsidP="008013EA">
            <w:pPr>
              <w:jc w:val="both"/>
              <w:rPr>
                <w:spacing w:val="-2"/>
              </w:rPr>
            </w:pPr>
            <w:r w:rsidRPr="00345AFC">
              <w:rPr>
                <w:spacing w:val="-2"/>
              </w:rPr>
              <w:t>Nie planuje się ewaluacj</w:t>
            </w:r>
            <w:r w:rsidR="00F563D4" w:rsidRPr="00345AFC">
              <w:rPr>
                <w:spacing w:val="-2"/>
              </w:rPr>
              <w:t>i</w:t>
            </w:r>
            <w:r w:rsidR="00D369D4" w:rsidRPr="00345AFC">
              <w:rPr>
                <w:spacing w:val="-2"/>
              </w:rPr>
              <w:t xml:space="preserve"> efektów rozporządzenia</w:t>
            </w:r>
            <w:r w:rsidRPr="00345AFC">
              <w:rPr>
                <w:spacing w:val="-2"/>
              </w:rPr>
              <w:t>.</w:t>
            </w:r>
            <w:r w:rsidR="006A283C">
              <w:rPr>
                <w:spacing w:val="-2"/>
              </w:rPr>
              <w:t xml:space="preserve"> </w:t>
            </w:r>
            <w:r w:rsidR="006A283C" w:rsidRPr="00EB2E4F">
              <w:rPr>
                <w:spacing w:val="-2"/>
              </w:rPr>
              <w:t xml:space="preserve">Podstawa programowa będzie </w:t>
            </w:r>
            <w:r w:rsidR="0063022F">
              <w:rPr>
                <w:spacing w:val="-2"/>
              </w:rPr>
              <w:t>natomiast monitorowana i </w:t>
            </w:r>
            <w:r w:rsidR="006A283C" w:rsidRPr="00EB2E4F">
              <w:rPr>
                <w:spacing w:val="-2"/>
              </w:rPr>
              <w:t>aktualizowana w miarę potrzeb.</w:t>
            </w:r>
            <w:r w:rsidR="006A283C">
              <w:rPr>
                <w:spacing w:val="-2"/>
              </w:rPr>
              <w:t xml:space="preserve"> </w:t>
            </w:r>
          </w:p>
        </w:tc>
      </w:tr>
      <w:tr w:rsidR="00995149" w:rsidRPr="00345AFC" w14:paraId="1A0E1D34" w14:textId="77777777" w:rsidTr="00EA2221">
        <w:trPr>
          <w:trHeight w:val="142"/>
          <w:jc w:val="center"/>
        </w:trPr>
        <w:tc>
          <w:tcPr>
            <w:tcW w:w="10861" w:type="dxa"/>
            <w:gridSpan w:val="29"/>
            <w:shd w:val="clear" w:color="auto" w:fill="99CCFF"/>
          </w:tcPr>
          <w:p w14:paraId="78240CDB" w14:textId="77777777" w:rsidR="00995149" w:rsidRPr="00345AFC" w:rsidRDefault="00995149" w:rsidP="008013EA">
            <w:pPr>
              <w:numPr>
                <w:ilvl w:val="0"/>
                <w:numId w:val="1"/>
              </w:numPr>
              <w:spacing w:before="60" w:after="60"/>
              <w:ind w:left="318" w:hanging="284"/>
              <w:jc w:val="both"/>
              <w:rPr>
                <w:b/>
                <w:spacing w:val="-2"/>
              </w:rPr>
            </w:pPr>
            <w:r w:rsidRPr="00345AFC">
              <w:rPr>
                <w:b/>
                <w:spacing w:val="-2"/>
              </w:rPr>
              <w:t xml:space="preserve">Załączniki (istotne dokumenty źródłowe, badania, analizy itp.) </w:t>
            </w:r>
          </w:p>
        </w:tc>
      </w:tr>
      <w:tr w:rsidR="00995149" w:rsidRPr="00345AFC" w14:paraId="0378C7E3" w14:textId="77777777" w:rsidTr="00EA2221">
        <w:trPr>
          <w:trHeight w:val="142"/>
          <w:jc w:val="center"/>
        </w:trPr>
        <w:tc>
          <w:tcPr>
            <w:tcW w:w="10861" w:type="dxa"/>
            <w:gridSpan w:val="29"/>
            <w:shd w:val="clear" w:color="auto" w:fill="FFFFFF"/>
          </w:tcPr>
          <w:p w14:paraId="2A83203F" w14:textId="77777777" w:rsidR="00995149" w:rsidRPr="00345AFC" w:rsidRDefault="00146A46" w:rsidP="008013EA">
            <w:pPr>
              <w:jc w:val="both"/>
              <w:rPr>
                <w:spacing w:val="-2"/>
              </w:rPr>
            </w:pPr>
            <w:r w:rsidRPr="00345AFC">
              <w:rPr>
                <w:spacing w:val="-2"/>
              </w:rPr>
              <w:t>Brak</w:t>
            </w:r>
          </w:p>
        </w:tc>
      </w:tr>
    </w:tbl>
    <w:p w14:paraId="4B990F61" w14:textId="77777777" w:rsidR="00ED5E1A" w:rsidRPr="00BC3C46" w:rsidRDefault="00ED5E1A" w:rsidP="008013EA">
      <w:pPr>
        <w:rPr>
          <w:rFonts w:ascii="Arial" w:hAnsi="Arial" w:cs="Arial"/>
          <w:sz w:val="22"/>
          <w:szCs w:val="22"/>
        </w:rPr>
      </w:pPr>
    </w:p>
    <w:sectPr w:rsidR="00ED5E1A" w:rsidRPr="00BC3C4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135D4" w14:textId="77777777" w:rsidR="0041321E" w:rsidRDefault="0041321E" w:rsidP="00F7115F">
      <w:r>
        <w:separator/>
      </w:r>
    </w:p>
  </w:endnote>
  <w:endnote w:type="continuationSeparator" w:id="0">
    <w:p w14:paraId="52B91C4A" w14:textId="77777777" w:rsidR="0041321E" w:rsidRDefault="0041321E" w:rsidP="00F7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1FCBD" w14:textId="77777777" w:rsidR="00DB7025" w:rsidRDefault="00DB702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8380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83802">
      <w:rPr>
        <w:b/>
        <w:bCs/>
        <w:noProof/>
      </w:rPr>
      <w:t>7</w:t>
    </w:r>
    <w:r>
      <w:rPr>
        <w:b/>
        <w:bCs/>
      </w:rPr>
      <w:fldChar w:fldCharType="end"/>
    </w:r>
  </w:p>
  <w:p w14:paraId="3C49C024" w14:textId="77777777" w:rsidR="00DB7025" w:rsidRDefault="00DB70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C3946" w14:textId="77777777" w:rsidR="0041321E" w:rsidRDefault="0041321E" w:rsidP="00F7115F">
      <w:r>
        <w:separator/>
      </w:r>
    </w:p>
  </w:footnote>
  <w:footnote w:type="continuationSeparator" w:id="0">
    <w:p w14:paraId="1E7AE966" w14:textId="77777777" w:rsidR="0041321E" w:rsidRDefault="0041321E" w:rsidP="00F71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D26C3"/>
    <w:multiLevelType w:val="hybridMultilevel"/>
    <w:tmpl w:val="16EEFE78"/>
    <w:lvl w:ilvl="0" w:tplc="DF9879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465C6"/>
    <w:multiLevelType w:val="hybridMultilevel"/>
    <w:tmpl w:val="4C3E5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8056F"/>
    <w:multiLevelType w:val="hybridMultilevel"/>
    <w:tmpl w:val="24869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016A8"/>
    <w:multiLevelType w:val="hybridMultilevel"/>
    <w:tmpl w:val="A306A732"/>
    <w:lvl w:ilvl="0" w:tplc="D02804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42767"/>
    <w:multiLevelType w:val="hybridMultilevel"/>
    <w:tmpl w:val="A0521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A41E7"/>
    <w:multiLevelType w:val="hybridMultilevel"/>
    <w:tmpl w:val="C7468610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B2320"/>
    <w:multiLevelType w:val="hybridMultilevel"/>
    <w:tmpl w:val="A0521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B6176"/>
    <w:multiLevelType w:val="hybridMultilevel"/>
    <w:tmpl w:val="215E5582"/>
    <w:lvl w:ilvl="0" w:tplc="04150011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45D5516B"/>
    <w:multiLevelType w:val="hybridMultilevel"/>
    <w:tmpl w:val="FB9C4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9043C"/>
    <w:multiLevelType w:val="hybridMultilevel"/>
    <w:tmpl w:val="2264AA6A"/>
    <w:lvl w:ilvl="0" w:tplc="167C0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26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6E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60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49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8D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2C5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E5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0D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54C2349"/>
    <w:multiLevelType w:val="hybridMultilevel"/>
    <w:tmpl w:val="A5B48E16"/>
    <w:lvl w:ilvl="0" w:tplc="D02804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A028F0"/>
    <w:rsid w:val="000027BD"/>
    <w:rsid w:val="000029AB"/>
    <w:rsid w:val="00003797"/>
    <w:rsid w:val="00003B5E"/>
    <w:rsid w:val="00004066"/>
    <w:rsid w:val="00010D43"/>
    <w:rsid w:val="00011086"/>
    <w:rsid w:val="000125DA"/>
    <w:rsid w:val="00012E48"/>
    <w:rsid w:val="00013CAB"/>
    <w:rsid w:val="00023676"/>
    <w:rsid w:val="000237ED"/>
    <w:rsid w:val="00024CA5"/>
    <w:rsid w:val="0002713F"/>
    <w:rsid w:val="00027C99"/>
    <w:rsid w:val="00034D89"/>
    <w:rsid w:val="00040D5D"/>
    <w:rsid w:val="00041956"/>
    <w:rsid w:val="000422B7"/>
    <w:rsid w:val="00043C62"/>
    <w:rsid w:val="000440BC"/>
    <w:rsid w:val="0004467E"/>
    <w:rsid w:val="000473FC"/>
    <w:rsid w:val="00050E94"/>
    <w:rsid w:val="000511A2"/>
    <w:rsid w:val="00051DA2"/>
    <w:rsid w:val="000558F1"/>
    <w:rsid w:val="00056260"/>
    <w:rsid w:val="000630FB"/>
    <w:rsid w:val="0006355D"/>
    <w:rsid w:val="00064E8E"/>
    <w:rsid w:val="000728C9"/>
    <w:rsid w:val="00072E79"/>
    <w:rsid w:val="00083E73"/>
    <w:rsid w:val="000867AE"/>
    <w:rsid w:val="000870EF"/>
    <w:rsid w:val="00091559"/>
    <w:rsid w:val="00091978"/>
    <w:rsid w:val="00092460"/>
    <w:rsid w:val="000977C1"/>
    <w:rsid w:val="000A3845"/>
    <w:rsid w:val="000A3D88"/>
    <w:rsid w:val="000A3FED"/>
    <w:rsid w:val="000A69D3"/>
    <w:rsid w:val="000A78D6"/>
    <w:rsid w:val="000B09BB"/>
    <w:rsid w:val="000B15B9"/>
    <w:rsid w:val="000B5D90"/>
    <w:rsid w:val="000B78CB"/>
    <w:rsid w:val="000C3090"/>
    <w:rsid w:val="000C3120"/>
    <w:rsid w:val="000C35B3"/>
    <w:rsid w:val="000C44A0"/>
    <w:rsid w:val="000C76B0"/>
    <w:rsid w:val="000C79DF"/>
    <w:rsid w:val="000D01AE"/>
    <w:rsid w:val="000D13E4"/>
    <w:rsid w:val="000D20EB"/>
    <w:rsid w:val="000D4220"/>
    <w:rsid w:val="000D7B9C"/>
    <w:rsid w:val="000E5892"/>
    <w:rsid w:val="000E755E"/>
    <w:rsid w:val="000E768B"/>
    <w:rsid w:val="000F0AB5"/>
    <w:rsid w:val="000F33F4"/>
    <w:rsid w:val="000F51B1"/>
    <w:rsid w:val="00102014"/>
    <w:rsid w:val="0010358A"/>
    <w:rsid w:val="00106F63"/>
    <w:rsid w:val="00112EB8"/>
    <w:rsid w:val="00115235"/>
    <w:rsid w:val="00122C96"/>
    <w:rsid w:val="00122D90"/>
    <w:rsid w:val="00123BE1"/>
    <w:rsid w:val="001258C5"/>
    <w:rsid w:val="001270EC"/>
    <w:rsid w:val="001343BC"/>
    <w:rsid w:val="00134808"/>
    <w:rsid w:val="00134A5A"/>
    <w:rsid w:val="001356D2"/>
    <w:rsid w:val="001357C4"/>
    <w:rsid w:val="00140265"/>
    <w:rsid w:val="00146A46"/>
    <w:rsid w:val="0015139F"/>
    <w:rsid w:val="001514C2"/>
    <w:rsid w:val="00152592"/>
    <w:rsid w:val="0015319B"/>
    <w:rsid w:val="00153258"/>
    <w:rsid w:val="00153BCC"/>
    <w:rsid w:val="001543DA"/>
    <w:rsid w:val="0016296E"/>
    <w:rsid w:val="0016601B"/>
    <w:rsid w:val="0016687A"/>
    <w:rsid w:val="0016743A"/>
    <w:rsid w:val="00170BC2"/>
    <w:rsid w:val="00172451"/>
    <w:rsid w:val="001735DD"/>
    <w:rsid w:val="001736A9"/>
    <w:rsid w:val="00176207"/>
    <w:rsid w:val="001774EC"/>
    <w:rsid w:val="00181A75"/>
    <w:rsid w:val="00183A4F"/>
    <w:rsid w:val="00183F0A"/>
    <w:rsid w:val="0018480C"/>
    <w:rsid w:val="00185F85"/>
    <w:rsid w:val="00190F4C"/>
    <w:rsid w:val="00192774"/>
    <w:rsid w:val="00193139"/>
    <w:rsid w:val="001939D1"/>
    <w:rsid w:val="0019679B"/>
    <w:rsid w:val="001977E9"/>
    <w:rsid w:val="001A1FC7"/>
    <w:rsid w:val="001A3B99"/>
    <w:rsid w:val="001A77D0"/>
    <w:rsid w:val="001A7D3C"/>
    <w:rsid w:val="001B0372"/>
    <w:rsid w:val="001B76A6"/>
    <w:rsid w:val="001C0813"/>
    <w:rsid w:val="001C261F"/>
    <w:rsid w:val="001C45FA"/>
    <w:rsid w:val="001D395A"/>
    <w:rsid w:val="001D6A2F"/>
    <w:rsid w:val="001D7C1A"/>
    <w:rsid w:val="001E01D7"/>
    <w:rsid w:val="001E1B5E"/>
    <w:rsid w:val="001E3470"/>
    <w:rsid w:val="001E4145"/>
    <w:rsid w:val="001E5D32"/>
    <w:rsid w:val="001E60A6"/>
    <w:rsid w:val="001F0294"/>
    <w:rsid w:val="001F1F62"/>
    <w:rsid w:val="001F3048"/>
    <w:rsid w:val="001F4007"/>
    <w:rsid w:val="001F570D"/>
    <w:rsid w:val="001F6D3F"/>
    <w:rsid w:val="0020261B"/>
    <w:rsid w:val="002045E6"/>
    <w:rsid w:val="00206AEF"/>
    <w:rsid w:val="00206CCF"/>
    <w:rsid w:val="002074C5"/>
    <w:rsid w:val="00210F1D"/>
    <w:rsid w:val="002119BC"/>
    <w:rsid w:val="002143D3"/>
    <w:rsid w:val="00214C42"/>
    <w:rsid w:val="0021751A"/>
    <w:rsid w:val="00217BA2"/>
    <w:rsid w:val="00222A3C"/>
    <w:rsid w:val="00225AAF"/>
    <w:rsid w:val="00231280"/>
    <w:rsid w:val="00232A8F"/>
    <w:rsid w:val="0023306A"/>
    <w:rsid w:val="00233963"/>
    <w:rsid w:val="00240A22"/>
    <w:rsid w:val="00241259"/>
    <w:rsid w:val="002442F5"/>
    <w:rsid w:val="00247F1B"/>
    <w:rsid w:val="00252094"/>
    <w:rsid w:val="00254962"/>
    <w:rsid w:val="002569BA"/>
    <w:rsid w:val="00256C42"/>
    <w:rsid w:val="00256F3E"/>
    <w:rsid w:val="00262F95"/>
    <w:rsid w:val="002701C1"/>
    <w:rsid w:val="002706FE"/>
    <w:rsid w:val="00271703"/>
    <w:rsid w:val="00274696"/>
    <w:rsid w:val="00274D8D"/>
    <w:rsid w:val="00277C81"/>
    <w:rsid w:val="0028061E"/>
    <w:rsid w:val="00283089"/>
    <w:rsid w:val="002841CB"/>
    <w:rsid w:val="00284C3C"/>
    <w:rsid w:val="00284D36"/>
    <w:rsid w:val="00286AA1"/>
    <w:rsid w:val="00291412"/>
    <w:rsid w:val="00291D9C"/>
    <w:rsid w:val="002936E4"/>
    <w:rsid w:val="00295E19"/>
    <w:rsid w:val="002A0D04"/>
    <w:rsid w:val="002A2ABF"/>
    <w:rsid w:val="002A7C6A"/>
    <w:rsid w:val="002B607E"/>
    <w:rsid w:val="002C005D"/>
    <w:rsid w:val="002C07C3"/>
    <w:rsid w:val="002C1E34"/>
    <w:rsid w:val="002C743B"/>
    <w:rsid w:val="002C7D52"/>
    <w:rsid w:val="002D1DF9"/>
    <w:rsid w:val="002E3F4C"/>
    <w:rsid w:val="002E41B6"/>
    <w:rsid w:val="002E6F9F"/>
    <w:rsid w:val="002F0B46"/>
    <w:rsid w:val="002F1CFE"/>
    <w:rsid w:val="002F46F8"/>
    <w:rsid w:val="002F4725"/>
    <w:rsid w:val="002F6305"/>
    <w:rsid w:val="002F7BEF"/>
    <w:rsid w:val="00304675"/>
    <w:rsid w:val="0030470A"/>
    <w:rsid w:val="003106D0"/>
    <w:rsid w:val="00313FE5"/>
    <w:rsid w:val="00314790"/>
    <w:rsid w:val="003162DE"/>
    <w:rsid w:val="00321C14"/>
    <w:rsid w:val="00322ADD"/>
    <w:rsid w:val="003329E7"/>
    <w:rsid w:val="00334F8C"/>
    <w:rsid w:val="003424EF"/>
    <w:rsid w:val="00343027"/>
    <w:rsid w:val="00343E84"/>
    <w:rsid w:val="0034407A"/>
    <w:rsid w:val="00344F76"/>
    <w:rsid w:val="00345AFC"/>
    <w:rsid w:val="0034747D"/>
    <w:rsid w:val="003500A9"/>
    <w:rsid w:val="0035043B"/>
    <w:rsid w:val="00362525"/>
    <w:rsid w:val="00364C13"/>
    <w:rsid w:val="0037191E"/>
    <w:rsid w:val="003746D8"/>
    <w:rsid w:val="00376D9C"/>
    <w:rsid w:val="00380E5D"/>
    <w:rsid w:val="0038133B"/>
    <w:rsid w:val="003819C2"/>
    <w:rsid w:val="00382F24"/>
    <w:rsid w:val="00383E74"/>
    <w:rsid w:val="00383F7F"/>
    <w:rsid w:val="00384794"/>
    <w:rsid w:val="003854D5"/>
    <w:rsid w:val="00385A8C"/>
    <w:rsid w:val="00385F9A"/>
    <w:rsid w:val="003906D1"/>
    <w:rsid w:val="003942B4"/>
    <w:rsid w:val="00394734"/>
    <w:rsid w:val="00394C36"/>
    <w:rsid w:val="00394D38"/>
    <w:rsid w:val="003979F1"/>
    <w:rsid w:val="003A4820"/>
    <w:rsid w:val="003A7019"/>
    <w:rsid w:val="003B1CE5"/>
    <w:rsid w:val="003B3089"/>
    <w:rsid w:val="003C2963"/>
    <w:rsid w:val="003C2E0C"/>
    <w:rsid w:val="003C2FCD"/>
    <w:rsid w:val="003C4E93"/>
    <w:rsid w:val="003C551B"/>
    <w:rsid w:val="003D01FE"/>
    <w:rsid w:val="003D0408"/>
    <w:rsid w:val="003D0F51"/>
    <w:rsid w:val="003D23F2"/>
    <w:rsid w:val="003D5CBA"/>
    <w:rsid w:val="003D5CBF"/>
    <w:rsid w:val="003E0073"/>
    <w:rsid w:val="003E0528"/>
    <w:rsid w:val="003F1615"/>
    <w:rsid w:val="003F3D29"/>
    <w:rsid w:val="003F6214"/>
    <w:rsid w:val="003F6A1E"/>
    <w:rsid w:val="003F7407"/>
    <w:rsid w:val="0040489C"/>
    <w:rsid w:val="00404BD8"/>
    <w:rsid w:val="00407272"/>
    <w:rsid w:val="0040785A"/>
    <w:rsid w:val="00411B6C"/>
    <w:rsid w:val="0041321E"/>
    <w:rsid w:val="0041355A"/>
    <w:rsid w:val="00416B49"/>
    <w:rsid w:val="00417DE7"/>
    <w:rsid w:val="004202A7"/>
    <w:rsid w:val="004211CB"/>
    <w:rsid w:val="00422320"/>
    <w:rsid w:val="004225F7"/>
    <w:rsid w:val="00424416"/>
    <w:rsid w:val="004246DB"/>
    <w:rsid w:val="00426A63"/>
    <w:rsid w:val="004300D9"/>
    <w:rsid w:val="004336FE"/>
    <w:rsid w:val="0043570A"/>
    <w:rsid w:val="0044168E"/>
    <w:rsid w:val="00442BF4"/>
    <w:rsid w:val="00443185"/>
    <w:rsid w:val="0044372B"/>
    <w:rsid w:val="004466CB"/>
    <w:rsid w:val="0045097C"/>
    <w:rsid w:val="004514A5"/>
    <w:rsid w:val="004525DD"/>
    <w:rsid w:val="0045799A"/>
    <w:rsid w:val="004606F5"/>
    <w:rsid w:val="00461A6C"/>
    <w:rsid w:val="00462225"/>
    <w:rsid w:val="00462920"/>
    <w:rsid w:val="00463DEC"/>
    <w:rsid w:val="00464F75"/>
    <w:rsid w:val="00472336"/>
    <w:rsid w:val="00473BE3"/>
    <w:rsid w:val="00474AF4"/>
    <w:rsid w:val="00477A01"/>
    <w:rsid w:val="00494EFF"/>
    <w:rsid w:val="00495EF7"/>
    <w:rsid w:val="004A2F01"/>
    <w:rsid w:val="004A569E"/>
    <w:rsid w:val="004A6203"/>
    <w:rsid w:val="004B01FF"/>
    <w:rsid w:val="004B1362"/>
    <w:rsid w:val="004B3DAC"/>
    <w:rsid w:val="004B4555"/>
    <w:rsid w:val="004C07D6"/>
    <w:rsid w:val="004C2306"/>
    <w:rsid w:val="004C2A5E"/>
    <w:rsid w:val="004C41D9"/>
    <w:rsid w:val="004C4A31"/>
    <w:rsid w:val="004C51A6"/>
    <w:rsid w:val="004C5992"/>
    <w:rsid w:val="004D4950"/>
    <w:rsid w:val="004E0495"/>
    <w:rsid w:val="004E04CD"/>
    <w:rsid w:val="004E1BF1"/>
    <w:rsid w:val="004E4FED"/>
    <w:rsid w:val="004E5C6A"/>
    <w:rsid w:val="004F01AA"/>
    <w:rsid w:val="004F3E14"/>
    <w:rsid w:val="004F40F2"/>
    <w:rsid w:val="00500027"/>
    <w:rsid w:val="00503888"/>
    <w:rsid w:val="00506092"/>
    <w:rsid w:val="00507333"/>
    <w:rsid w:val="00511A81"/>
    <w:rsid w:val="00512279"/>
    <w:rsid w:val="00520167"/>
    <w:rsid w:val="00521060"/>
    <w:rsid w:val="00526CDA"/>
    <w:rsid w:val="00533273"/>
    <w:rsid w:val="00534EFC"/>
    <w:rsid w:val="00536960"/>
    <w:rsid w:val="00536D19"/>
    <w:rsid w:val="005370DD"/>
    <w:rsid w:val="005377A4"/>
    <w:rsid w:val="005433D7"/>
    <w:rsid w:val="0055083E"/>
    <w:rsid w:val="005514BB"/>
    <w:rsid w:val="005547E8"/>
    <w:rsid w:val="00557BE1"/>
    <w:rsid w:val="00561094"/>
    <w:rsid w:val="00561531"/>
    <w:rsid w:val="0056280F"/>
    <w:rsid w:val="00564754"/>
    <w:rsid w:val="00572765"/>
    <w:rsid w:val="005767DA"/>
    <w:rsid w:val="00580517"/>
    <w:rsid w:val="00582416"/>
    <w:rsid w:val="0058529B"/>
    <w:rsid w:val="005856FB"/>
    <w:rsid w:val="005874D2"/>
    <w:rsid w:val="00591383"/>
    <w:rsid w:val="005932C6"/>
    <w:rsid w:val="00596406"/>
    <w:rsid w:val="0059671E"/>
    <w:rsid w:val="00596CC6"/>
    <w:rsid w:val="0059767A"/>
    <w:rsid w:val="005A5021"/>
    <w:rsid w:val="005B0BD7"/>
    <w:rsid w:val="005B0D8F"/>
    <w:rsid w:val="005C029B"/>
    <w:rsid w:val="005C12FE"/>
    <w:rsid w:val="005C32EF"/>
    <w:rsid w:val="005C4A8A"/>
    <w:rsid w:val="005C6296"/>
    <w:rsid w:val="005D1AD4"/>
    <w:rsid w:val="005D497A"/>
    <w:rsid w:val="005E3513"/>
    <w:rsid w:val="005E5952"/>
    <w:rsid w:val="005F028A"/>
    <w:rsid w:val="005F2538"/>
    <w:rsid w:val="005F2FFA"/>
    <w:rsid w:val="005F417F"/>
    <w:rsid w:val="005F5EA5"/>
    <w:rsid w:val="005F6245"/>
    <w:rsid w:val="00602846"/>
    <w:rsid w:val="00606977"/>
    <w:rsid w:val="0060747D"/>
    <w:rsid w:val="00607D51"/>
    <w:rsid w:val="0061300D"/>
    <w:rsid w:val="0061683C"/>
    <w:rsid w:val="006210F8"/>
    <w:rsid w:val="006231BB"/>
    <w:rsid w:val="00623225"/>
    <w:rsid w:val="00623B0E"/>
    <w:rsid w:val="00630167"/>
    <w:rsid w:val="0063022F"/>
    <w:rsid w:val="00634764"/>
    <w:rsid w:val="006364F1"/>
    <w:rsid w:val="00647829"/>
    <w:rsid w:val="00647D49"/>
    <w:rsid w:val="006509E1"/>
    <w:rsid w:val="0065140A"/>
    <w:rsid w:val="0065254F"/>
    <w:rsid w:val="006533BD"/>
    <w:rsid w:val="00653DB9"/>
    <w:rsid w:val="006546D5"/>
    <w:rsid w:val="0065730B"/>
    <w:rsid w:val="006626CC"/>
    <w:rsid w:val="00662DB5"/>
    <w:rsid w:val="00665CE2"/>
    <w:rsid w:val="00670D62"/>
    <w:rsid w:val="006742B2"/>
    <w:rsid w:val="0068229B"/>
    <w:rsid w:val="00682377"/>
    <w:rsid w:val="00682563"/>
    <w:rsid w:val="00682C30"/>
    <w:rsid w:val="00683D46"/>
    <w:rsid w:val="00685B6C"/>
    <w:rsid w:val="0068629F"/>
    <w:rsid w:val="00687BD8"/>
    <w:rsid w:val="00697004"/>
    <w:rsid w:val="006A283C"/>
    <w:rsid w:val="006A2F86"/>
    <w:rsid w:val="006B514D"/>
    <w:rsid w:val="006C1F19"/>
    <w:rsid w:val="006C346D"/>
    <w:rsid w:val="006D5E14"/>
    <w:rsid w:val="006E09F4"/>
    <w:rsid w:val="006E1D5C"/>
    <w:rsid w:val="006E332C"/>
    <w:rsid w:val="006E373E"/>
    <w:rsid w:val="006E6A57"/>
    <w:rsid w:val="006F18F1"/>
    <w:rsid w:val="006F2096"/>
    <w:rsid w:val="006F28AC"/>
    <w:rsid w:val="006F3ADB"/>
    <w:rsid w:val="006F3E0F"/>
    <w:rsid w:val="006F4F68"/>
    <w:rsid w:val="006F6284"/>
    <w:rsid w:val="006F662B"/>
    <w:rsid w:val="00700118"/>
    <w:rsid w:val="00700C58"/>
    <w:rsid w:val="00702611"/>
    <w:rsid w:val="0070301B"/>
    <w:rsid w:val="007038EE"/>
    <w:rsid w:val="0070721B"/>
    <w:rsid w:val="00711AD0"/>
    <w:rsid w:val="007179F1"/>
    <w:rsid w:val="00720634"/>
    <w:rsid w:val="007208AA"/>
    <w:rsid w:val="00720A50"/>
    <w:rsid w:val="00723541"/>
    <w:rsid w:val="00724D3D"/>
    <w:rsid w:val="0072714B"/>
    <w:rsid w:val="00732140"/>
    <w:rsid w:val="00733258"/>
    <w:rsid w:val="00733926"/>
    <w:rsid w:val="0073775E"/>
    <w:rsid w:val="0073777B"/>
    <w:rsid w:val="00742B0E"/>
    <w:rsid w:val="00745A79"/>
    <w:rsid w:val="00750181"/>
    <w:rsid w:val="00751302"/>
    <w:rsid w:val="00753848"/>
    <w:rsid w:val="00755B44"/>
    <w:rsid w:val="007560EE"/>
    <w:rsid w:val="00756DB5"/>
    <w:rsid w:val="007627FA"/>
    <w:rsid w:val="00762C14"/>
    <w:rsid w:val="00764852"/>
    <w:rsid w:val="007649C3"/>
    <w:rsid w:val="0077117C"/>
    <w:rsid w:val="0077178D"/>
    <w:rsid w:val="007730E5"/>
    <w:rsid w:val="00774AD8"/>
    <w:rsid w:val="0077562E"/>
    <w:rsid w:val="00785280"/>
    <w:rsid w:val="00785EAD"/>
    <w:rsid w:val="00790386"/>
    <w:rsid w:val="00792D09"/>
    <w:rsid w:val="0079588A"/>
    <w:rsid w:val="007968C8"/>
    <w:rsid w:val="007A0893"/>
    <w:rsid w:val="007A1334"/>
    <w:rsid w:val="007A19FE"/>
    <w:rsid w:val="007A38E4"/>
    <w:rsid w:val="007A5B26"/>
    <w:rsid w:val="007A60DC"/>
    <w:rsid w:val="007B422D"/>
    <w:rsid w:val="007B5CCC"/>
    <w:rsid w:val="007B7DEA"/>
    <w:rsid w:val="007C1785"/>
    <w:rsid w:val="007C6529"/>
    <w:rsid w:val="007C707C"/>
    <w:rsid w:val="007C71EF"/>
    <w:rsid w:val="007D0F40"/>
    <w:rsid w:val="007D1704"/>
    <w:rsid w:val="007D279A"/>
    <w:rsid w:val="007D39D8"/>
    <w:rsid w:val="007D3B49"/>
    <w:rsid w:val="007D6F26"/>
    <w:rsid w:val="007D72B4"/>
    <w:rsid w:val="007D7D29"/>
    <w:rsid w:val="007E0A98"/>
    <w:rsid w:val="007E1E76"/>
    <w:rsid w:val="007E246A"/>
    <w:rsid w:val="007E4C18"/>
    <w:rsid w:val="007E513D"/>
    <w:rsid w:val="007E5C91"/>
    <w:rsid w:val="007F3557"/>
    <w:rsid w:val="007F7391"/>
    <w:rsid w:val="00800A76"/>
    <w:rsid w:val="008013EA"/>
    <w:rsid w:val="0080449B"/>
    <w:rsid w:val="00804678"/>
    <w:rsid w:val="00806762"/>
    <w:rsid w:val="008068BD"/>
    <w:rsid w:val="00807A95"/>
    <w:rsid w:val="008122FE"/>
    <w:rsid w:val="00812E11"/>
    <w:rsid w:val="008215CE"/>
    <w:rsid w:val="0082443E"/>
    <w:rsid w:val="00826A25"/>
    <w:rsid w:val="008331E1"/>
    <w:rsid w:val="00837B6E"/>
    <w:rsid w:val="0084454A"/>
    <w:rsid w:val="0084741B"/>
    <w:rsid w:val="00850957"/>
    <w:rsid w:val="008513F4"/>
    <w:rsid w:val="00852472"/>
    <w:rsid w:val="008538C4"/>
    <w:rsid w:val="00853F26"/>
    <w:rsid w:val="008623DD"/>
    <w:rsid w:val="0086519D"/>
    <w:rsid w:val="00866037"/>
    <w:rsid w:val="008669F7"/>
    <w:rsid w:val="00867836"/>
    <w:rsid w:val="00867D45"/>
    <w:rsid w:val="0087233F"/>
    <w:rsid w:val="00872AD2"/>
    <w:rsid w:val="00874811"/>
    <w:rsid w:val="00875C50"/>
    <w:rsid w:val="00875FCB"/>
    <w:rsid w:val="00876283"/>
    <w:rsid w:val="00880BBD"/>
    <w:rsid w:val="00884DFC"/>
    <w:rsid w:val="00887EC3"/>
    <w:rsid w:val="008907FF"/>
    <w:rsid w:val="00890FAB"/>
    <w:rsid w:val="00893B37"/>
    <w:rsid w:val="00897776"/>
    <w:rsid w:val="008A1EDB"/>
    <w:rsid w:val="008A2576"/>
    <w:rsid w:val="008A2611"/>
    <w:rsid w:val="008A30AE"/>
    <w:rsid w:val="008A37D2"/>
    <w:rsid w:val="008A518F"/>
    <w:rsid w:val="008A51D9"/>
    <w:rsid w:val="008A5A74"/>
    <w:rsid w:val="008A7921"/>
    <w:rsid w:val="008B422C"/>
    <w:rsid w:val="008C6814"/>
    <w:rsid w:val="008D0B66"/>
    <w:rsid w:val="008D3F91"/>
    <w:rsid w:val="008D4A06"/>
    <w:rsid w:val="008D55FD"/>
    <w:rsid w:val="008D6598"/>
    <w:rsid w:val="008D73ED"/>
    <w:rsid w:val="008E1793"/>
    <w:rsid w:val="008E1D58"/>
    <w:rsid w:val="008E3105"/>
    <w:rsid w:val="008E4066"/>
    <w:rsid w:val="008F3417"/>
    <w:rsid w:val="008F39B0"/>
    <w:rsid w:val="008F3F44"/>
    <w:rsid w:val="008F5508"/>
    <w:rsid w:val="008F576F"/>
    <w:rsid w:val="009003BB"/>
    <w:rsid w:val="0090104E"/>
    <w:rsid w:val="00904017"/>
    <w:rsid w:val="0090545D"/>
    <w:rsid w:val="0090557A"/>
    <w:rsid w:val="00911088"/>
    <w:rsid w:val="0092126E"/>
    <w:rsid w:val="009226BD"/>
    <w:rsid w:val="0092451F"/>
    <w:rsid w:val="00926080"/>
    <w:rsid w:val="00930909"/>
    <w:rsid w:val="0093411C"/>
    <w:rsid w:val="00934890"/>
    <w:rsid w:val="00936818"/>
    <w:rsid w:val="00941F9C"/>
    <w:rsid w:val="00942C97"/>
    <w:rsid w:val="00944BEB"/>
    <w:rsid w:val="00945087"/>
    <w:rsid w:val="00945888"/>
    <w:rsid w:val="009479CE"/>
    <w:rsid w:val="00952768"/>
    <w:rsid w:val="00952FFC"/>
    <w:rsid w:val="00955605"/>
    <w:rsid w:val="009560EE"/>
    <w:rsid w:val="00961A3F"/>
    <w:rsid w:val="00964F58"/>
    <w:rsid w:val="00965A8F"/>
    <w:rsid w:val="00967042"/>
    <w:rsid w:val="00970BDD"/>
    <w:rsid w:val="00972DEB"/>
    <w:rsid w:val="0097773B"/>
    <w:rsid w:val="009778D8"/>
    <w:rsid w:val="00977D89"/>
    <w:rsid w:val="009800E6"/>
    <w:rsid w:val="00980DAF"/>
    <w:rsid w:val="00981A5A"/>
    <w:rsid w:val="00990874"/>
    <w:rsid w:val="00992DC8"/>
    <w:rsid w:val="00995149"/>
    <w:rsid w:val="009A1059"/>
    <w:rsid w:val="009A3327"/>
    <w:rsid w:val="009A6F33"/>
    <w:rsid w:val="009B0B2C"/>
    <w:rsid w:val="009B1BE0"/>
    <w:rsid w:val="009B3E41"/>
    <w:rsid w:val="009C197C"/>
    <w:rsid w:val="009C1FA6"/>
    <w:rsid w:val="009C2C42"/>
    <w:rsid w:val="009C4A9D"/>
    <w:rsid w:val="009C59C0"/>
    <w:rsid w:val="009C6745"/>
    <w:rsid w:val="009D6939"/>
    <w:rsid w:val="009D7ABE"/>
    <w:rsid w:val="009D7B27"/>
    <w:rsid w:val="009E1DB6"/>
    <w:rsid w:val="009E32C8"/>
    <w:rsid w:val="009E4B5D"/>
    <w:rsid w:val="009E6075"/>
    <w:rsid w:val="009E63A3"/>
    <w:rsid w:val="009E6895"/>
    <w:rsid w:val="009E72A5"/>
    <w:rsid w:val="009F270E"/>
    <w:rsid w:val="009F410C"/>
    <w:rsid w:val="009F4B57"/>
    <w:rsid w:val="009F6291"/>
    <w:rsid w:val="009F64A7"/>
    <w:rsid w:val="009F79C0"/>
    <w:rsid w:val="009F7BFF"/>
    <w:rsid w:val="00A028F0"/>
    <w:rsid w:val="00A03993"/>
    <w:rsid w:val="00A04D66"/>
    <w:rsid w:val="00A06A99"/>
    <w:rsid w:val="00A07ADF"/>
    <w:rsid w:val="00A11153"/>
    <w:rsid w:val="00A115A3"/>
    <w:rsid w:val="00A11A88"/>
    <w:rsid w:val="00A129E6"/>
    <w:rsid w:val="00A16049"/>
    <w:rsid w:val="00A20350"/>
    <w:rsid w:val="00A2228C"/>
    <w:rsid w:val="00A27110"/>
    <w:rsid w:val="00A34235"/>
    <w:rsid w:val="00A4085C"/>
    <w:rsid w:val="00A417D9"/>
    <w:rsid w:val="00A41B37"/>
    <w:rsid w:val="00A42134"/>
    <w:rsid w:val="00A434B3"/>
    <w:rsid w:val="00A4416B"/>
    <w:rsid w:val="00A44F6B"/>
    <w:rsid w:val="00A458CB"/>
    <w:rsid w:val="00A46F04"/>
    <w:rsid w:val="00A54BF1"/>
    <w:rsid w:val="00A56AB8"/>
    <w:rsid w:val="00A57EEC"/>
    <w:rsid w:val="00A604FE"/>
    <w:rsid w:val="00A61844"/>
    <w:rsid w:val="00A63001"/>
    <w:rsid w:val="00A6319C"/>
    <w:rsid w:val="00A65483"/>
    <w:rsid w:val="00A729D5"/>
    <w:rsid w:val="00A7412B"/>
    <w:rsid w:val="00A76640"/>
    <w:rsid w:val="00A83802"/>
    <w:rsid w:val="00A85F40"/>
    <w:rsid w:val="00A90257"/>
    <w:rsid w:val="00A9343C"/>
    <w:rsid w:val="00A93839"/>
    <w:rsid w:val="00A94B7B"/>
    <w:rsid w:val="00A97FA0"/>
    <w:rsid w:val="00AA022F"/>
    <w:rsid w:val="00AA16E3"/>
    <w:rsid w:val="00AA17B9"/>
    <w:rsid w:val="00AA49E2"/>
    <w:rsid w:val="00AA5172"/>
    <w:rsid w:val="00AB18D9"/>
    <w:rsid w:val="00AB4B47"/>
    <w:rsid w:val="00AC3C0C"/>
    <w:rsid w:val="00AC79D6"/>
    <w:rsid w:val="00AD453E"/>
    <w:rsid w:val="00AE24F1"/>
    <w:rsid w:val="00AE486B"/>
    <w:rsid w:val="00AE4B4A"/>
    <w:rsid w:val="00AE592A"/>
    <w:rsid w:val="00AE59DA"/>
    <w:rsid w:val="00AE7995"/>
    <w:rsid w:val="00AF49B1"/>
    <w:rsid w:val="00AF75EB"/>
    <w:rsid w:val="00B0035C"/>
    <w:rsid w:val="00B009BA"/>
    <w:rsid w:val="00B0498F"/>
    <w:rsid w:val="00B0704B"/>
    <w:rsid w:val="00B075D6"/>
    <w:rsid w:val="00B11F3C"/>
    <w:rsid w:val="00B11FAF"/>
    <w:rsid w:val="00B12DD6"/>
    <w:rsid w:val="00B135AB"/>
    <w:rsid w:val="00B139E4"/>
    <w:rsid w:val="00B22479"/>
    <w:rsid w:val="00B22F02"/>
    <w:rsid w:val="00B3089C"/>
    <w:rsid w:val="00B33BF8"/>
    <w:rsid w:val="00B351A6"/>
    <w:rsid w:val="00B35CFF"/>
    <w:rsid w:val="00B37441"/>
    <w:rsid w:val="00B65315"/>
    <w:rsid w:val="00B663DC"/>
    <w:rsid w:val="00B664A1"/>
    <w:rsid w:val="00B72E2B"/>
    <w:rsid w:val="00B73713"/>
    <w:rsid w:val="00B77F89"/>
    <w:rsid w:val="00B80F86"/>
    <w:rsid w:val="00B80FAC"/>
    <w:rsid w:val="00B84673"/>
    <w:rsid w:val="00B85627"/>
    <w:rsid w:val="00B86B4D"/>
    <w:rsid w:val="00B957D8"/>
    <w:rsid w:val="00B95803"/>
    <w:rsid w:val="00BA082F"/>
    <w:rsid w:val="00BA3140"/>
    <w:rsid w:val="00BA4251"/>
    <w:rsid w:val="00BA4A75"/>
    <w:rsid w:val="00BA5AF8"/>
    <w:rsid w:val="00BA69F6"/>
    <w:rsid w:val="00BB183C"/>
    <w:rsid w:val="00BB18C9"/>
    <w:rsid w:val="00BB2C39"/>
    <w:rsid w:val="00BB5F93"/>
    <w:rsid w:val="00BB7317"/>
    <w:rsid w:val="00BC098A"/>
    <w:rsid w:val="00BC143E"/>
    <w:rsid w:val="00BC258C"/>
    <w:rsid w:val="00BC3C46"/>
    <w:rsid w:val="00BC5685"/>
    <w:rsid w:val="00BC7ABF"/>
    <w:rsid w:val="00BD219C"/>
    <w:rsid w:val="00BD3447"/>
    <w:rsid w:val="00BD6DE0"/>
    <w:rsid w:val="00BE13D3"/>
    <w:rsid w:val="00BE234A"/>
    <w:rsid w:val="00BE5A9E"/>
    <w:rsid w:val="00BF5AEE"/>
    <w:rsid w:val="00BF773F"/>
    <w:rsid w:val="00C0164D"/>
    <w:rsid w:val="00C07203"/>
    <w:rsid w:val="00C133C7"/>
    <w:rsid w:val="00C1588F"/>
    <w:rsid w:val="00C26C85"/>
    <w:rsid w:val="00C2702C"/>
    <w:rsid w:val="00C307F5"/>
    <w:rsid w:val="00C3095E"/>
    <w:rsid w:val="00C30E4D"/>
    <w:rsid w:val="00C31EDB"/>
    <w:rsid w:val="00C32950"/>
    <w:rsid w:val="00C4273D"/>
    <w:rsid w:val="00C47005"/>
    <w:rsid w:val="00C52851"/>
    <w:rsid w:val="00C53035"/>
    <w:rsid w:val="00C54CE0"/>
    <w:rsid w:val="00C55DCF"/>
    <w:rsid w:val="00C63D9D"/>
    <w:rsid w:val="00C705F0"/>
    <w:rsid w:val="00C7288D"/>
    <w:rsid w:val="00C72A93"/>
    <w:rsid w:val="00C74248"/>
    <w:rsid w:val="00C7516B"/>
    <w:rsid w:val="00C7777A"/>
    <w:rsid w:val="00C804DC"/>
    <w:rsid w:val="00C80D2E"/>
    <w:rsid w:val="00C81BDA"/>
    <w:rsid w:val="00C8250D"/>
    <w:rsid w:val="00C82920"/>
    <w:rsid w:val="00C83E89"/>
    <w:rsid w:val="00C8407C"/>
    <w:rsid w:val="00C87A88"/>
    <w:rsid w:val="00C91F83"/>
    <w:rsid w:val="00C93E26"/>
    <w:rsid w:val="00C95570"/>
    <w:rsid w:val="00CB0B98"/>
    <w:rsid w:val="00CB0E7C"/>
    <w:rsid w:val="00CB14E9"/>
    <w:rsid w:val="00CB2D81"/>
    <w:rsid w:val="00CB39CE"/>
    <w:rsid w:val="00CB5ACB"/>
    <w:rsid w:val="00CB5D41"/>
    <w:rsid w:val="00CC1131"/>
    <w:rsid w:val="00CC1EA2"/>
    <w:rsid w:val="00CC22F6"/>
    <w:rsid w:val="00CC4C4C"/>
    <w:rsid w:val="00CC538F"/>
    <w:rsid w:val="00CC5F5A"/>
    <w:rsid w:val="00CC684C"/>
    <w:rsid w:val="00CC6F42"/>
    <w:rsid w:val="00CD0331"/>
    <w:rsid w:val="00CD1053"/>
    <w:rsid w:val="00CD1797"/>
    <w:rsid w:val="00CE1260"/>
    <w:rsid w:val="00CE3262"/>
    <w:rsid w:val="00CE583C"/>
    <w:rsid w:val="00CE5D7B"/>
    <w:rsid w:val="00CE60BD"/>
    <w:rsid w:val="00CE7501"/>
    <w:rsid w:val="00CF3336"/>
    <w:rsid w:val="00CF4EAD"/>
    <w:rsid w:val="00D00CAA"/>
    <w:rsid w:val="00D02A17"/>
    <w:rsid w:val="00D02D8D"/>
    <w:rsid w:val="00D0402F"/>
    <w:rsid w:val="00D04AB0"/>
    <w:rsid w:val="00D04CE7"/>
    <w:rsid w:val="00D06F15"/>
    <w:rsid w:val="00D1034A"/>
    <w:rsid w:val="00D12519"/>
    <w:rsid w:val="00D164C8"/>
    <w:rsid w:val="00D17E57"/>
    <w:rsid w:val="00D25C36"/>
    <w:rsid w:val="00D25C6D"/>
    <w:rsid w:val="00D261AB"/>
    <w:rsid w:val="00D3044F"/>
    <w:rsid w:val="00D3252C"/>
    <w:rsid w:val="00D363DB"/>
    <w:rsid w:val="00D369D4"/>
    <w:rsid w:val="00D373D1"/>
    <w:rsid w:val="00D374DD"/>
    <w:rsid w:val="00D40AE5"/>
    <w:rsid w:val="00D414D9"/>
    <w:rsid w:val="00D4264D"/>
    <w:rsid w:val="00D42BAE"/>
    <w:rsid w:val="00D43D53"/>
    <w:rsid w:val="00D441E4"/>
    <w:rsid w:val="00D47A3B"/>
    <w:rsid w:val="00D50C22"/>
    <w:rsid w:val="00D51733"/>
    <w:rsid w:val="00D5256E"/>
    <w:rsid w:val="00D52730"/>
    <w:rsid w:val="00D53935"/>
    <w:rsid w:val="00D601CE"/>
    <w:rsid w:val="00D642CA"/>
    <w:rsid w:val="00D66452"/>
    <w:rsid w:val="00D6682B"/>
    <w:rsid w:val="00D704D7"/>
    <w:rsid w:val="00D70FF9"/>
    <w:rsid w:val="00D7232A"/>
    <w:rsid w:val="00D73D88"/>
    <w:rsid w:val="00D76A36"/>
    <w:rsid w:val="00D77219"/>
    <w:rsid w:val="00D82A0B"/>
    <w:rsid w:val="00D83109"/>
    <w:rsid w:val="00D8469B"/>
    <w:rsid w:val="00D84E1E"/>
    <w:rsid w:val="00D877AB"/>
    <w:rsid w:val="00D91518"/>
    <w:rsid w:val="00D95709"/>
    <w:rsid w:val="00D95A88"/>
    <w:rsid w:val="00D9732A"/>
    <w:rsid w:val="00DA0DB2"/>
    <w:rsid w:val="00DA0E8B"/>
    <w:rsid w:val="00DA38B2"/>
    <w:rsid w:val="00DA48DB"/>
    <w:rsid w:val="00DA5485"/>
    <w:rsid w:val="00DB3861"/>
    <w:rsid w:val="00DB51C2"/>
    <w:rsid w:val="00DB5ACA"/>
    <w:rsid w:val="00DB7025"/>
    <w:rsid w:val="00DB7E2E"/>
    <w:rsid w:val="00DB7FFE"/>
    <w:rsid w:val="00DC0778"/>
    <w:rsid w:val="00DC1B52"/>
    <w:rsid w:val="00DC3F78"/>
    <w:rsid w:val="00DC4D18"/>
    <w:rsid w:val="00DD048A"/>
    <w:rsid w:val="00DD1F8E"/>
    <w:rsid w:val="00DD2F18"/>
    <w:rsid w:val="00DD705F"/>
    <w:rsid w:val="00DE023F"/>
    <w:rsid w:val="00DE04CA"/>
    <w:rsid w:val="00DE0B52"/>
    <w:rsid w:val="00DE1DD4"/>
    <w:rsid w:val="00DE586A"/>
    <w:rsid w:val="00DE6110"/>
    <w:rsid w:val="00DE7248"/>
    <w:rsid w:val="00DF12B7"/>
    <w:rsid w:val="00DF5BCC"/>
    <w:rsid w:val="00E00265"/>
    <w:rsid w:val="00E024AE"/>
    <w:rsid w:val="00E043AD"/>
    <w:rsid w:val="00E07AF7"/>
    <w:rsid w:val="00E173AE"/>
    <w:rsid w:val="00E17E99"/>
    <w:rsid w:val="00E20EB0"/>
    <w:rsid w:val="00E20FD1"/>
    <w:rsid w:val="00E21C02"/>
    <w:rsid w:val="00E231D4"/>
    <w:rsid w:val="00E24734"/>
    <w:rsid w:val="00E27D46"/>
    <w:rsid w:val="00E30A76"/>
    <w:rsid w:val="00E30F49"/>
    <w:rsid w:val="00E34D69"/>
    <w:rsid w:val="00E42896"/>
    <w:rsid w:val="00E42EFB"/>
    <w:rsid w:val="00E50807"/>
    <w:rsid w:val="00E51F65"/>
    <w:rsid w:val="00E52BCC"/>
    <w:rsid w:val="00E533AA"/>
    <w:rsid w:val="00E55F8F"/>
    <w:rsid w:val="00E60D28"/>
    <w:rsid w:val="00E633B4"/>
    <w:rsid w:val="00E63419"/>
    <w:rsid w:val="00E63AAA"/>
    <w:rsid w:val="00E63CFF"/>
    <w:rsid w:val="00E64A1F"/>
    <w:rsid w:val="00E75022"/>
    <w:rsid w:val="00E838B5"/>
    <w:rsid w:val="00E83EF0"/>
    <w:rsid w:val="00E84EEE"/>
    <w:rsid w:val="00E90302"/>
    <w:rsid w:val="00E92E3F"/>
    <w:rsid w:val="00E93BB9"/>
    <w:rsid w:val="00E94442"/>
    <w:rsid w:val="00EA0795"/>
    <w:rsid w:val="00EA2221"/>
    <w:rsid w:val="00EA3957"/>
    <w:rsid w:val="00EA3BD2"/>
    <w:rsid w:val="00EA720F"/>
    <w:rsid w:val="00EA7D9E"/>
    <w:rsid w:val="00EB2762"/>
    <w:rsid w:val="00EB2B95"/>
    <w:rsid w:val="00EB2CE4"/>
    <w:rsid w:val="00EB2E4F"/>
    <w:rsid w:val="00EB32E8"/>
    <w:rsid w:val="00EB4AD8"/>
    <w:rsid w:val="00EB5376"/>
    <w:rsid w:val="00EC0420"/>
    <w:rsid w:val="00EC1672"/>
    <w:rsid w:val="00EC21A0"/>
    <w:rsid w:val="00EC3004"/>
    <w:rsid w:val="00EC58B7"/>
    <w:rsid w:val="00EC59D8"/>
    <w:rsid w:val="00EC62F4"/>
    <w:rsid w:val="00ED0398"/>
    <w:rsid w:val="00ED5E1A"/>
    <w:rsid w:val="00EE083D"/>
    <w:rsid w:val="00EE13EC"/>
    <w:rsid w:val="00EE217A"/>
    <w:rsid w:val="00EE3139"/>
    <w:rsid w:val="00EE45FF"/>
    <w:rsid w:val="00EE48D0"/>
    <w:rsid w:val="00EE496D"/>
    <w:rsid w:val="00EE4C57"/>
    <w:rsid w:val="00EE5C57"/>
    <w:rsid w:val="00EE730C"/>
    <w:rsid w:val="00EF4910"/>
    <w:rsid w:val="00EF5741"/>
    <w:rsid w:val="00EF7021"/>
    <w:rsid w:val="00F00651"/>
    <w:rsid w:val="00F0196E"/>
    <w:rsid w:val="00F01A92"/>
    <w:rsid w:val="00F0389E"/>
    <w:rsid w:val="00F046F9"/>
    <w:rsid w:val="00F061E7"/>
    <w:rsid w:val="00F14087"/>
    <w:rsid w:val="00F145A9"/>
    <w:rsid w:val="00F1521D"/>
    <w:rsid w:val="00F2424A"/>
    <w:rsid w:val="00F24B8D"/>
    <w:rsid w:val="00F25800"/>
    <w:rsid w:val="00F31FD3"/>
    <w:rsid w:val="00F3244C"/>
    <w:rsid w:val="00F330A9"/>
    <w:rsid w:val="00F41BC6"/>
    <w:rsid w:val="00F41C0E"/>
    <w:rsid w:val="00F47744"/>
    <w:rsid w:val="00F52466"/>
    <w:rsid w:val="00F52FD5"/>
    <w:rsid w:val="00F549ED"/>
    <w:rsid w:val="00F563D4"/>
    <w:rsid w:val="00F60BDF"/>
    <w:rsid w:val="00F63CB2"/>
    <w:rsid w:val="00F63DDD"/>
    <w:rsid w:val="00F663B9"/>
    <w:rsid w:val="00F70454"/>
    <w:rsid w:val="00F7115F"/>
    <w:rsid w:val="00F7279F"/>
    <w:rsid w:val="00F76678"/>
    <w:rsid w:val="00F8178C"/>
    <w:rsid w:val="00F82755"/>
    <w:rsid w:val="00F87923"/>
    <w:rsid w:val="00F90ACC"/>
    <w:rsid w:val="00F90F27"/>
    <w:rsid w:val="00F91E14"/>
    <w:rsid w:val="00F9460F"/>
    <w:rsid w:val="00F948D1"/>
    <w:rsid w:val="00FA0ABF"/>
    <w:rsid w:val="00FA0C10"/>
    <w:rsid w:val="00FA178C"/>
    <w:rsid w:val="00FA515B"/>
    <w:rsid w:val="00FA68D8"/>
    <w:rsid w:val="00FA6CAE"/>
    <w:rsid w:val="00FB152F"/>
    <w:rsid w:val="00FB74EA"/>
    <w:rsid w:val="00FC4267"/>
    <w:rsid w:val="00FD27AD"/>
    <w:rsid w:val="00FD46D7"/>
    <w:rsid w:val="00FD785A"/>
    <w:rsid w:val="00FE20C2"/>
    <w:rsid w:val="00FE34D5"/>
    <w:rsid w:val="00FE37B2"/>
    <w:rsid w:val="00FE5188"/>
    <w:rsid w:val="00FF2413"/>
    <w:rsid w:val="00FF3830"/>
    <w:rsid w:val="00FF4E8C"/>
    <w:rsid w:val="00FF6729"/>
    <w:rsid w:val="00FF6F4A"/>
    <w:rsid w:val="00FF77C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F8961"/>
  <w15:docId w15:val="{7ECECB47-3C3B-44E7-B6B1-834ABB79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47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028F0"/>
    <w:pPr>
      <w:ind w:left="720"/>
      <w:contextualSpacing/>
    </w:pPr>
  </w:style>
  <w:style w:type="paragraph" w:customStyle="1" w:styleId="Default">
    <w:name w:val="Default"/>
    <w:rsid w:val="00A028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71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115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711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15F"/>
    <w:rPr>
      <w:sz w:val="24"/>
      <w:szCs w:val="24"/>
    </w:rPr>
  </w:style>
  <w:style w:type="character" w:styleId="Odwoaniedokomentarza">
    <w:name w:val="annotation reference"/>
    <w:rsid w:val="00647D4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47D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47D49"/>
  </w:style>
  <w:style w:type="paragraph" w:styleId="Tematkomentarza">
    <w:name w:val="annotation subject"/>
    <w:basedOn w:val="Tekstkomentarza"/>
    <w:next w:val="Tekstkomentarza"/>
    <w:link w:val="TematkomentarzaZnak"/>
    <w:rsid w:val="00647D49"/>
    <w:rPr>
      <w:b/>
      <w:bCs/>
    </w:rPr>
  </w:style>
  <w:style w:type="character" w:customStyle="1" w:styleId="TematkomentarzaZnak">
    <w:name w:val="Temat komentarza Znak"/>
    <w:link w:val="Tematkomentarza"/>
    <w:rsid w:val="00647D49"/>
    <w:rPr>
      <w:b/>
      <w:bCs/>
    </w:rPr>
  </w:style>
  <w:style w:type="paragraph" w:styleId="Tekstdymka">
    <w:name w:val="Balloon Text"/>
    <w:basedOn w:val="Normalny"/>
    <w:link w:val="TekstdymkaZnak"/>
    <w:rsid w:val="00647D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7D49"/>
    <w:rPr>
      <w:rFonts w:ascii="Tahoma" w:hAnsi="Tahoma" w:cs="Tahoma"/>
      <w:sz w:val="16"/>
      <w:szCs w:val="16"/>
    </w:rPr>
  </w:style>
  <w:style w:type="paragraph" w:customStyle="1" w:styleId="menfont">
    <w:name w:val="men font"/>
    <w:basedOn w:val="Normalny"/>
    <w:link w:val="menfontZnak"/>
    <w:rsid w:val="00443185"/>
    <w:rPr>
      <w:rFonts w:ascii="Arial" w:hAnsi="Arial" w:cs="Arial"/>
    </w:rPr>
  </w:style>
  <w:style w:type="character" w:customStyle="1" w:styleId="menfontZnak">
    <w:name w:val="men font Znak"/>
    <w:link w:val="menfont"/>
    <w:rsid w:val="00443185"/>
    <w:rPr>
      <w:rFonts w:ascii="Arial" w:hAnsi="Arial" w:cs="Arial"/>
      <w:sz w:val="24"/>
      <w:szCs w:val="24"/>
    </w:rPr>
  </w:style>
  <w:style w:type="character" w:styleId="Odwoanieprzypisudolnego">
    <w:name w:val="footnote reference"/>
    <w:rsid w:val="001735DD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1735D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1735DD"/>
    <w:rPr>
      <w:rFonts w:ascii="Times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1735DD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1735DD"/>
    <w:rPr>
      <w:rFonts w:ascii="Times" w:hAnsi="Times" w:cs="Arial"/>
      <w:bCs/>
      <w:sz w:val="24"/>
    </w:rPr>
  </w:style>
  <w:style w:type="character" w:styleId="Hipercze">
    <w:name w:val="Hyperlink"/>
    <w:unhideWhenUsed/>
    <w:rsid w:val="001735DD"/>
    <w:rPr>
      <w:color w:val="61674D"/>
      <w:u w:val="single"/>
    </w:rPr>
  </w:style>
  <w:style w:type="paragraph" w:styleId="Tekstpodstawowy">
    <w:name w:val="Body Text"/>
    <w:basedOn w:val="Normalny"/>
    <w:link w:val="TekstpodstawowyZnak"/>
    <w:unhideWhenUsed/>
    <w:rsid w:val="001735DD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1735DD"/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unhideWhenUsed/>
    <w:rsid w:val="001735DD"/>
    <w:pPr>
      <w:ind w:left="540" w:right="706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525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256E"/>
  </w:style>
  <w:style w:type="paragraph" w:styleId="Tekstprzypisukocowego">
    <w:name w:val="endnote text"/>
    <w:basedOn w:val="Normalny"/>
    <w:link w:val="TekstprzypisukocowegoZnak"/>
    <w:rsid w:val="004048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489C"/>
  </w:style>
  <w:style w:type="character" w:styleId="Odwoanieprzypisukocowego">
    <w:name w:val="endnote reference"/>
    <w:rsid w:val="0040489C"/>
    <w:rPr>
      <w:vertAlign w:val="superscript"/>
    </w:rPr>
  </w:style>
  <w:style w:type="paragraph" w:styleId="Poprawka">
    <w:name w:val="Revision"/>
    <w:hidden/>
    <w:uiPriority w:val="99"/>
    <w:semiHidden/>
    <w:rsid w:val="001270EC"/>
    <w:rPr>
      <w:sz w:val="24"/>
      <w:szCs w:val="24"/>
    </w:rPr>
  </w:style>
  <w:style w:type="paragraph" w:customStyle="1" w:styleId="link2">
    <w:name w:val="link2"/>
    <w:basedOn w:val="Normalny"/>
    <w:rsid w:val="00533273"/>
    <w:pPr>
      <w:spacing w:before="20" w:after="20"/>
      <w:ind w:left="600" w:hanging="300"/>
    </w:pPr>
    <w:rPr>
      <w:rFonts w:ascii="Verdana" w:hAnsi="Verdana"/>
      <w:sz w:val="16"/>
      <w:szCs w:val="16"/>
    </w:rPr>
  </w:style>
  <w:style w:type="character" w:customStyle="1" w:styleId="FontStyle14">
    <w:name w:val="Font Style14"/>
    <w:uiPriority w:val="99"/>
    <w:rsid w:val="009B0B2C"/>
    <w:rPr>
      <w:rFonts w:ascii="Arial" w:hAnsi="Arial" w:cs="Arial"/>
      <w:sz w:val="22"/>
      <w:szCs w:val="22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345AFC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LITlitera">
    <w:name w:val="LIT – litera"/>
    <w:basedOn w:val="Normalny"/>
    <w:uiPriority w:val="14"/>
    <w:qFormat/>
    <w:rsid w:val="00345AF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231280"/>
  </w:style>
  <w:style w:type="character" w:customStyle="1" w:styleId="AkapitzlistZnak">
    <w:name w:val="Akapit z listą Znak"/>
    <w:link w:val="Akapitzlist"/>
    <w:uiPriority w:val="34"/>
    <w:rsid w:val="007E246A"/>
    <w:rPr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8623DD"/>
    <w:rPr>
      <w:rFonts w:ascii="Times" w:hAnsi="Times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4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.ngo.pl/lingal" TargetMode="External"/><Relationship Id="rId13" Type="http://schemas.openxmlformats.org/officeDocument/2006/relationships/hyperlink" Target="http://www.iatefl.org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uczyciel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nt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rony.wp.pl/wp/tnbsp" TargetMode="External"/><Relationship Id="rId10" Type="http://schemas.openxmlformats.org/officeDocument/2006/relationships/hyperlink" Target="http://www.sne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dsiz.irk.pl" TargetMode="External"/><Relationship Id="rId14" Type="http://schemas.openxmlformats.org/officeDocument/2006/relationships/hyperlink" Target="http://www.profeurop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51C59-F58B-4404-B25A-06B2632D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2279</Words>
  <Characters>13675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15923</CharactersWithSpaces>
  <SharedDoc>false</SharedDoc>
  <HLinks>
    <vt:vector size="48" baseType="variant">
      <vt:variant>
        <vt:i4>5439515</vt:i4>
      </vt:variant>
      <vt:variant>
        <vt:i4>21</vt:i4>
      </vt:variant>
      <vt:variant>
        <vt:i4>0</vt:i4>
      </vt:variant>
      <vt:variant>
        <vt:i4>5</vt:i4>
      </vt:variant>
      <vt:variant>
        <vt:lpwstr>http://strony.wp.pl/wp/tnbsp</vt:lpwstr>
      </vt:variant>
      <vt:variant>
        <vt:lpwstr/>
      </vt:variant>
      <vt:variant>
        <vt:i4>1114187</vt:i4>
      </vt:variant>
      <vt:variant>
        <vt:i4>18</vt:i4>
      </vt:variant>
      <vt:variant>
        <vt:i4>0</vt:i4>
      </vt:variant>
      <vt:variant>
        <vt:i4>5</vt:i4>
      </vt:variant>
      <vt:variant>
        <vt:lpwstr>http://www.profeurope.pl/</vt:lpwstr>
      </vt:variant>
      <vt:variant>
        <vt:lpwstr/>
      </vt:variant>
      <vt:variant>
        <vt:i4>5111872</vt:i4>
      </vt:variant>
      <vt:variant>
        <vt:i4>15</vt:i4>
      </vt:variant>
      <vt:variant>
        <vt:i4>0</vt:i4>
      </vt:variant>
      <vt:variant>
        <vt:i4>5</vt:i4>
      </vt:variant>
      <vt:variant>
        <vt:lpwstr>http://www.iatefl.org.pl/</vt:lpwstr>
      </vt:variant>
      <vt:variant>
        <vt:lpwstr/>
      </vt:variant>
      <vt:variant>
        <vt:i4>2162802</vt:i4>
      </vt:variant>
      <vt:variant>
        <vt:i4>12</vt:i4>
      </vt:variant>
      <vt:variant>
        <vt:i4>0</vt:i4>
      </vt:variant>
      <vt:variant>
        <vt:i4>5</vt:i4>
      </vt:variant>
      <vt:variant>
        <vt:lpwstr>http://www.nauczyciele.org/</vt:lpwstr>
      </vt:variant>
      <vt:variant>
        <vt:lpwstr/>
      </vt:variant>
      <vt:variant>
        <vt:i4>7208999</vt:i4>
      </vt:variant>
      <vt:variant>
        <vt:i4>9</vt:i4>
      </vt:variant>
      <vt:variant>
        <vt:i4>0</vt:i4>
      </vt:variant>
      <vt:variant>
        <vt:i4>5</vt:i4>
      </vt:variant>
      <vt:variant>
        <vt:lpwstr>http://www.snti.pl/</vt:lpwstr>
      </vt:variant>
      <vt:variant>
        <vt:lpwstr/>
      </vt:variant>
      <vt:variant>
        <vt:i4>3473454</vt:i4>
      </vt:variant>
      <vt:variant>
        <vt:i4>6</vt:i4>
      </vt:variant>
      <vt:variant>
        <vt:i4>0</vt:i4>
      </vt:variant>
      <vt:variant>
        <vt:i4>5</vt:i4>
      </vt:variant>
      <vt:variant>
        <vt:lpwstr>http://www.snep.edu.pl/</vt:lpwstr>
      </vt:variant>
      <vt:variant>
        <vt:lpwstr/>
      </vt:variant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http://www.sdsiz.irk.pl/</vt:lpwstr>
      </vt:variant>
      <vt:variant>
        <vt:lpwstr/>
      </vt:variant>
      <vt:variant>
        <vt:i4>4194382</vt:i4>
      </vt:variant>
      <vt:variant>
        <vt:i4>0</vt:i4>
      </vt:variant>
      <vt:variant>
        <vt:i4>0</vt:i4>
      </vt:variant>
      <vt:variant>
        <vt:i4>5</vt:i4>
      </vt:variant>
      <vt:variant>
        <vt:lpwstr>http://free.ngo.pl/lingal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Katarzyna.Szlyk</dc:creator>
  <cp:lastModifiedBy>Rzadkowska Karolina</cp:lastModifiedBy>
  <cp:revision>2</cp:revision>
  <cp:lastPrinted>2017-02-10T13:38:00Z</cp:lastPrinted>
  <dcterms:created xsi:type="dcterms:W3CDTF">2018-03-16T11:09:00Z</dcterms:created>
  <dcterms:modified xsi:type="dcterms:W3CDTF">2018-03-16T11:09:00Z</dcterms:modified>
</cp:coreProperties>
</file>